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4"/>
        <w:gridCol w:w="629"/>
        <w:gridCol w:w="781"/>
        <w:gridCol w:w="524"/>
        <w:gridCol w:w="815"/>
        <w:gridCol w:w="269"/>
        <w:gridCol w:w="1014"/>
        <w:gridCol w:w="986"/>
        <w:gridCol w:w="331"/>
        <w:gridCol w:w="950"/>
        <w:gridCol w:w="1183"/>
      </w:tblGrid>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code</w:t>
            </w:r>
          </w:p>
          <w:p w:rsidR="00B510B7" w:rsidRPr="00B56FF5" w:rsidRDefault="00B510B7" w:rsidP="00D367D0">
            <w:pPr>
              <w:rPr>
                <w:rFonts w:ascii="Arial" w:hAnsi="Arial" w:cs="Arial"/>
                <w:b/>
                <w:color w:val="000000" w:themeColor="text1"/>
                <w:sz w:val="24"/>
                <w:szCs w:val="24"/>
              </w:rPr>
            </w:pPr>
          </w:p>
        </w:tc>
        <w:tc>
          <w:tcPr>
            <w:tcW w:w="7482" w:type="dxa"/>
            <w:gridSpan w:val="10"/>
          </w:tcPr>
          <w:p w:rsidR="00D367D0" w:rsidRPr="00B56FF5" w:rsidRDefault="00FE3AC6" w:rsidP="00D367D0">
            <w:pPr>
              <w:rPr>
                <w:rFonts w:ascii="Arial" w:hAnsi="Arial" w:cs="Arial"/>
                <w:color w:val="000000" w:themeColor="text1"/>
              </w:rPr>
            </w:pPr>
            <w:r>
              <w:rPr>
                <w:rFonts w:ascii="Arial" w:hAnsi="Arial" w:cs="Arial"/>
                <w:color w:val="000000" w:themeColor="text1"/>
              </w:rPr>
              <w:t>CIF 70</w:t>
            </w:r>
            <w:r w:rsidR="00FC49E4">
              <w:rPr>
                <w:rFonts w:ascii="Arial" w:hAnsi="Arial" w:cs="Arial"/>
                <w:color w:val="000000" w:themeColor="text1"/>
              </w:rPr>
              <w:t>20</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title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A22EF1" w:rsidP="003843CE">
            <w:pPr>
              <w:rPr>
                <w:rFonts w:ascii="Arial" w:hAnsi="Arial" w:cs="Arial"/>
                <w:color w:val="000000" w:themeColor="text1"/>
              </w:rPr>
            </w:pPr>
            <w:r w:rsidRPr="00B56FF5">
              <w:rPr>
                <w:rFonts w:ascii="Arial" w:hAnsi="Arial" w:cs="Arial"/>
                <w:color w:val="000000" w:themeColor="text1"/>
              </w:rPr>
              <w:t xml:space="preserve">Islamic </w:t>
            </w:r>
            <w:r w:rsidR="003843CE" w:rsidRPr="00B56FF5">
              <w:rPr>
                <w:rFonts w:ascii="Arial" w:hAnsi="Arial" w:cs="Arial"/>
                <w:color w:val="000000" w:themeColor="text1"/>
              </w:rPr>
              <w:t>Business Law</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leader</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E952C5" w:rsidP="003843CE">
            <w:pPr>
              <w:rPr>
                <w:rFonts w:ascii="Arial" w:hAnsi="Arial" w:cs="Arial"/>
                <w:color w:val="000000" w:themeColor="text1"/>
              </w:rPr>
            </w:pPr>
            <w:r w:rsidRPr="00B56FF5">
              <w:rPr>
                <w:rFonts w:ascii="Arial" w:hAnsi="Arial" w:cs="Arial"/>
                <w:color w:val="000000" w:themeColor="text1"/>
              </w:rPr>
              <w:t>Dr</w:t>
            </w:r>
            <w:r w:rsidR="00A22EF1" w:rsidRPr="00B56FF5">
              <w:rPr>
                <w:rFonts w:ascii="Arial" w:hAnsi="Arial" w:cs="Arial"/>
                <w:color w:val="000000" w:themeColor="text1"/>
              </w:rPr>
              <w:t xml:space="preserve"> </w:t>
            </w:r>
            <w:r w:rsidR="003843CE" w:rsidRPr="00B56FF5">
              <w:rPr>
                <w:rFonts w:ascii="Arial" w:hAnsi="Arial" w:cs="Arial"/>
                <w:color w:val="000000" w:themeColor="text1"/>
              </w:rPr>
              <w:t>Šukrija Ramić</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tutors</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3843CE" w:rsidP="00E952C5">
            <w:pPr>
              <w:rPr>
                <w:rFonts w:ascii="Arial" w:hAnsi="Arial" w:cs="Arial"/>
                <w:color w:val="000000" w:themeColor="text1"/>
              </w:rPr>
            </w:pPr>
            <w:r w:rsidRPr="00B56FF5">
              <w:rPr>
                <w:rFonts w:ascii="Arial" w:hAnsi="Arial" w:cs="Arial"/>
                <w:color w:val="000000" w:themeColor="text1"/>
              </w:rPr>
              <w:t>Dr. Šukrija Ramić</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level</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A22EF1" w:rsidP="00D367D0">
            <w:pPr>
              <w:rPr>
                <w:rFonts w:ascii="Arial" w:hAnsi="Arial" w:cs="Arial"/>
                <w:color w:val="000000" w:themeColor="text1"/>
              </w:rPr>
            </w:pPr>
            <w:r w:rsidRPr="00B56FF5">
              <w:rPr>
                <w:rFonts w:ascii="Arial" w:hAnsi="Arial" w:cs="Arial"/>
                <w:color w:val="000000" w:themeColor="text1"/>
              </w:rPr>
              <w:t>HE7</w:t>
            </w:r>
            <w:r w:rsidR="003843CE" w:rsidRPr="00B56FF5">
              <w:rPr>
                <w:rFonts w:ascii="Arial" w:hAnsi="Arial" w:cs="Arial"/>
                <w:color w:val="000000" w:themeColor="text1"/>
              </w:rPr>
              <w:t xml:space="preserve">   </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Credit value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AD262F" w:rsidP="00D367D0">
            <w:pPr>
              <w:rPr>
                <w:rFonts w:ascii="Arial" w:hAnsi="Arial" w:cs="Arial"/>
                <w:color w:val="000000" w:themeColor="text1"/>
              </w:rPr>
            </w:pPr>
            <w:r w:rsidRPr="00B56FF5">
              <w:rPr>
                <w:rFonts w:ascii="Arial" w:hAnsi="Arial" w:cs="Arial"/>
                <w:color w:val="000000" w:themeColor="text1"/>
              </w:rPr>
              <w:t>12</w:t>
            </w:r>
            <w:r w:rsidR="003843CE" w:rsidRPr="00B56FF5">
              <w:rPr>
                <w:rFonts w:ascii="Arial" w:hAnsi="Arial" w:cs="Arial"/>
                <w:color w:val="000000" w:themeColor="text1"/>
              </w:rPr>
              <w:t xml:space="preserve">   </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ECTS value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AD262F" w:rsidP="00D367D0">
            <w:pPr>
              <w:rPr>
                <w:rFonts w:ascii="Arial" w:hAnsi="Arial" w:cs="Arial"/>
                <w:color w:val="000000" w:themeColor="text1"/>
              </w:rPr>
            </w:pPr>
            <w:r w:rsidRPr="00B56FF5">
              <w:rPr>
                <w:rFonts w:ascii="Arial" w:hAnsi="Arial" w:cs="Arial"/>
                <w:color w:val="000000" w:themeColor="text1"/>
              </w:rPr>
              <w:t>6</w:t>
            </w:r>
            <w:r w:rsidR="003843CE" w:rsidRPr="00B56FF5">
              <w:rPr>
                <w:rFonts w:ascii="Arial" w:hAnsi="Arial" w:cs="Arial"/>
                <w:color w:val="000000" w:themeColor="text1"/>
              </w:rPr>
              <w:t xml:space="preserve"> </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type</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BC0249" w:rsidP="00D367D0">
            <w:pPr>
              <w:rPr>
                <w:rFonts w:ascii="Arial" w:hAnsi="Arial" w:cs="Arial"/>
                <w:color w:val="000000" w:themeColor="text1"/>
              </w:rPr>
            </w:pPr>
            <w:r>
              <w:rPr>
                <w:rFonts w:ascii="Arial" w:hAnsi="Arial" w:cs="Arial"/>
                <w:color w:val="000000" w:themeColor="text1"/>
              </w:rPr>
              <w:t xml:space="preserve">Standard </w:t>
            </w:r>
          </w:p>
        </w:tc>
      </w:tr>
      <w:tr w:rsidR="00B56FF5" w:rsidRPr="00B56FF5" w:rsidTr="00606092">
        <w:tc>
          <w:tcPr>
            <w:tcW w:w="2204" w:type="dxa"/>
          </w:tcPr>
          <w:p w:rsidR="00D367D0" w:rsidRPr="00B56FF5" w:rsidRDefault="00D367D0" w:rsidP="00D367D0">
            <w:pPr>
              <w:rPr>
                <w:rFonts w:ascii="Arial" w:hAnsi="Arial" w:cs="Arial"/>
                <w:b/>
                <w:color w:val="000000" w:themeColor="text1"/>
                <w:sz w:val="24"/>
                <w:szCs w:val="24"/>
              </w:rPr>
            </w:pPr>
            <w:r w:rsidRPr="00B56FF5">
              <w:rPr>
                <w:rFonts w:ascii="Arial" w:hAnsi="Arial" w:cs="Arial"/>
                <w:b/>
                <w:color w:val="000000" w:themeColor="text1"/>
                <w:sz w:val="24"/>
                <w:szCs w:val="24"/>
              </w:rPr>
              <w:t>Delivery Type</w:t>
            </w:r>
          </w:p>
          <w:p w:rsidR="00D367D0" w:rsidRPr="00B56FF5" w:rsidRDefault="00D367D0" w:rsidP="00D367D0">
            <w:pPr>
              <w:rPr>
                <w:rFonts w:ascii="Arial" w:hAnsi="Arial" w:cs="Arial"/>
                <w:b/>
                <w:color w:val="000000" w:themeColor="text1"/>
                <w:sz w:val="24"/>
                <w:szCs w:val="24"/>
              </w:rPr>
            </w:pPr>
          </w:p>
        </w:tc>
        <w:tc>
          <w:tcPr>
            <w:tcW w:w="7482" w:type="dxa"/>
            <w:gridSpan w:val="10"/>
          </w:tcPr>
          <w:p w:rsidR="00D367D0" w:rsidRPr="00B56FF5" w:rsidRDefault="00EA572B" w:rsidP="00D367D0">
            <w:pPr>
              <w:rPr>
                <w:rFonts w:ascii="Arial" w:hAnsi="Arial" w:cs="Arial"/>
                <w:color w:val="000000" w:themeColor="text1"/>
              </w:rPr>
            </w:pPr>
            <w:r w:rsidRPr="00B56FF5">
              <w:rPr>
                <w:rFonts w:ascii="Arial" w:hAnsi="Arial" w:cs="Arial"/>
                <w:color w:val="000000" w:themeColor="text1"/>
              </w:rPr>
              <w:t>This module requires you to attend particular classes or events at particular times and in particular locations</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Pre-requisite modules/learning</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EA572B" w:rsidP="00D367D0">
            <w:pPr>
              <w:rPr>
                <w:rFonts w:ascii="Arial" w:hAnsi="Arial" w:cs="Arial"/>
                <w:color w:val="000000" w:themeColor="text1"/>
              </w:rPr>
            </w:pPr>
            <w:r w:rsidRPr="00B56FF5">
              <w:rPr>
                <w:rFonts w:ascii="Arial" w:hAnsi="Arial" w:cs="Arial"/>
                <w:color w:val="000000" w:themeColor="text1"/>
              </w:rPr>
              <w:t>N/A</w:t>
            </w:r>
            <w:r w:rsidR="003843CE" w:rsidRPr="00B56FF5">
              <w:rPr>
                <w:rFonts w:ascii="Arial" w:hAnsi="Arial" w:cs="Arial"/>
                <w:color w:val="000000" w:themeColor="text1"/>
              </w:rPr>
              <w:t xml:space="preserve">  </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Co-requisite modules</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EA572B" w:rsidP="00D367D0">
            <w:pPr>
              <w:rPr>
                <w:rFonts w:ascii="Arial" w:hAnsi="Arial" w:cs="Arial"/>
                <w:color w:val="000000" w:themeColor="text1"/>
              </w:rPr>
            </w:pPr>
            <w:r w:rsidRPr="00B56FF5">
              <w:rPr>
                <w:rFonts w:ascii="Arial" w:hAnsi="Arial" w:cs="Arial"/>
                <w:color w:val="000000" w:themeColor="text1"/>
              </w:rPr>
              <w:t>N/A</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Barred combinations</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EA572B" w:rsidP="00D367D0">
            <w:pPr>
              <w:rPr>
                <w:rFonts w:ascii="Arial" w:hAnsi="Arial" w:cs="Arial"/>
                <w:color w:val="000000" w:themeColor="text1"/>
              </w:rPr>
            </w:pPr>
            <w:r w:rsidRPr="00B56FF5">
              <w:rPr>
                <w:rFonts w:ascii="Arial" w:hAnsi="Arial" w:cs="Arial"/>
                <w:color w:val="000000" w:themeColor="text1"/>
              </w:rPr>
              <w:t>N/A</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duration</w:t>
            </w:r>
          </w:p>
          <w:p w:rsidR="00B510B7" w:rsidRPr="00B56FF5" w:rsidRDefault="00B510B7" w:rsidP="00D367D0">
            <w:pPr>
              <w:rPr>
                <w:rFonts w:ascii="Arial" w:hAnsi="Arial" w:cs="Arial"/>
                <w:b/>
                <w:color w:val="000000" w:themeColor="text1"/>
                <w:sz w:val="24"/>
                <w:szCs w:val="24"/>
              </w:rPr>
            </w:pPr>
          </w:p>
        </w:tc>
        <w:tc>
          <w:tcPr>
            <w:tcW w:w="7482" w:type="dxa"/>
            <w:gridSpan w:val="10"/>
          </w:tcPr>
          <w:p w:rsidR="00B510B7" w:rsidRPr="00B56FF5" w:rsidRDefault="00AD262F" w:rsidP="00D367D0">
            <w:pPr>
              <w:rPr>
                <w:rFonts w:ascii="Arial" w:hAnsi="Arial" w:cs="Arial"/>
                <w:color w:val="000000" w:themeColor="text1"/>
              </w:rPr>
            </w:pPr>
            <w:r w:rsidRPr="00B56FF5">
              <w:rPr>
                <w:rFonts w:ascii="Arial" w:hAnsi="Arial" w:cs="Arial"/>
                <w:color w:val="000000" w:themeColor="text1"/>
              </w:rPr>
              <w:t>1 semester</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outline</w:t>
            </w:r>
          </w:p>
          <w:p w:rsidR="008468A4" w:rsidRPr="00B56FF5" w:rsidRDefault="008468A4" w:rsidP="00D367D0">
            <w:pPr>
              <w:rPr>
                <w:rFonts w:ascii="Arial" w:hAnsi="Arial" w:cs="Arial"/>
                <w:b/>
                <w:color w:val="000000" w:themeColor="text1"/>
                <w:sz w:val="24"/>
                <w:szCs w:val="24"/>
              </w:rPr>
            </w:pPr>
            <w:r w:rsidRPr="00B56FF5">
              <w:rPr>
                <w:rFonts w:ascii="Arial" w:hAnsi="Arial" w:cs="Arial"/>
                <w:b/>
                <w:color w:val="000000" w:themeColor="text1"/>
                <w:sz w:val="24"/>
                <w:szCs w:val="24"/>
              </w:rPr>
              <w:t>(200 words max)</w:t>
            </w:r>
          </w:p>
          <w:p w:rsidR="00B510B7" w:rsidRPr="00B56FF5" w:rsidRDefault="00B510B7" w:rsidP="00D367D0">
            <w:pPr>
              <w:rPr>
                <w:rFonts w:ascii="Arial" w:hAnsi="Arial" w:cs="Arial"/>
                <w:b/>
                <w:color w:val="000000" w:themeColor="text1"/>
                <w:sz w:val="24"/>
                <w:szCs w:val="24"/>
              </w:rPr>
            </w:pPr>
          </w:p>
        </w:tc>
        <w:tc>
          <w:tcPr>
            <w:tcW w:w="7482" w:type="dxa"/>
            <w:gridSpan w:val="10"/>
          </w:tcPr>
          <w:p w:rsidR="00606092" w:rsidRPr="00606092" w:rsidRDefault="00606092" w:rsidP="00606092">
            <w:pPr>
              <w:rPr>
                <w:rFonts w:ascii="Arial" w:hAnsi="Arial" w:cs="Arial"/>
              </w:rPr>
            </w:pPr>
            <w:r w:rsidRPr="00606092">
              <w:rPr>
                <w:rFonts w:ascii="Arial" w:hAnsi="Arial" w:cs="Arial"/>
              </w:rPr>
              <w:t xml:space="preserve">The main goal of this module is to familiarize the students with the concept of the Islamic business law through analysing </w:t>
            </w:r>
            <w:proofErr w:type="spellStart"/>
            <w:r w:rsidRPr="00606092">
              <w:rPr>
                <w:rFonts w:ascii="Arial" w:hAnsi="Arial" w:cs="Arial"/>
              </w:rPr>
              <w:t>Sharia</w:t>
            </w:r>
            <w:proofErr w:type="spellEnd"/>
            <w:r w:rsidRPr="00606092">
              <w:rPr>
                <w:rFonts w:ascii="Arial" w:hAnsi="Arial" w:cs="Arial"/>
              </w:rPr>
              <w:t xml:space="preserve"> norms related to commercial transactions (al-</w:t>
            </w:r>
            <w:proofErr w:type="spellStart"/>
            <w:r w:rsidRPr="00606092">
              <w:rPr>
                <w:rFonts w:ascii="Arial" w:hAnsi="Arial" w:cs="Arial"/>
              </w:rPr>
              <w:t>muamalat</w:t>
            </w:r>
            <w:proofErr w:type="spellEnd"/>
            <w:r w:rsidRPr="00606092">
              <w:rPr>
                <w:rFonts w:ascii="Arial" w:hAnsi="Arial" w:cs="Arial"/>
              </w:rPr>
              <w:t>). The students will learn about the sources of Islamic business law, basic rules upon which al-</w:t>
            </w:r>
            <w:proofErr w:type="spellStart"/>
            <w:r w:rsidRPr="00606092">
              <w:rPr>
                <w:rFonts w:ascii="Arial" w:hAnsi="Arial" w:cs="Arial"/>
              </w:rPr>
              <w:t>muamalat</w:t>
            </w:r>
            <w:proofErr w:type="spellEnd"/>
            <w:r w:rsidRPr="00606092">
              <w:rPr>
                <w:rFonts w:ascii="Arial" w:hAnsi="Arial" w:cs="Arial"/>
              </w:rPr>
              <w:t xml:space="preserve"> </w:t>
            </w:r>
            <w:proofErr w:type="gramStart"/>
            <w:r w:rsidRPr="00606092">
              <w:rPr>
                <w:rFonts w:ascii="Arial" w:hAnsi="Arial" w:cs="Arial"/>
              </w:rPr>
              <w:t>are</w:t>
            </w:r>
            <w:proofErr w:type="gramEnd"/>
            <w:r w:rsidRPr="00606092">
              <w:rPr>
                <w:rFonts w:ascii="Arial" w:hAnsi="Arial" w:cs="Arial"/>
              </w:rPr>
              <w:t xml:space="preserve"> established and the main contracts and their norms in </w:t>
            </w:r>
            <w:proofErr w:type="spellStart"/>
            <w:r w:rsidRPr="00606092">
              <w:rPr>
                <w:rFonts w:ascii="Arial" w:hAnsi="Arial" w:cs="Arial"/>
              </w:rPr>
              <w:t>Sharia</w:t>
            </w:r>
            <w:proofErr w:type="spellEnd"/>
            <w:r w:rsidRPr="00606092">
              <w:rPr>
                <w:rFonts w:ascii="Arial" w:hAnsi="Arial" w:cs="Arial"/>
              </w:rPr>
              <w:t xml:space="preserve"> law.</w:t>
            </w:r>
          </w:p>
          <w:p w:rsidR="00606092" w:rsidRDefault="00606092" w:rsidP="00606092">
            <w:pPr>
              <w:rPr>
                <w:rFonts w:ascii="Arial" w:hAnsi="Arial" w:cs="Arial"/>
              </w:rPr>
            </w:pPr>
            <w:r w:rsidRPr="00606092">
              <w:rPr>
                <w:rFonts w:ascii="Arial" w:hAnsi="Arial" w:cs="Arial"/>
              </w:rPr>
              <w:t xml:space="preserve">Special attention shall be paid to analysis of the norms that govern commercial transactions. Eventually, practical aspects of application of these rules in contemporary commercial activities will be analysed and discussed.  </w:t>
            </w:r>
          </w:p>
          <w:p w:rsidR="00606092" w:rsidRPr="00606092" w:rsidRDefault="00606092" w:rsidP="00606092">
            <w:pPr>
              <w:rPr>
                <w:rFonts w:ascii="Arial" w:hAnsi="Arial" w:cs="Arial"/>
              </w:rPr>
            </w:pPr>
          </w:p>
          <w:p w:rsidR="0090045D" w:rsidRPr="00E31D6F" w:rsidRDefault="00606092" w:rsidP="00606092">
            <w:pPr>
              <w:rPr>
                <w:rFonts w:ascii="Arial" w:hAnsi="Arial" w:cs="Arial"/>
                <w:color w:val="000000" w:themeColor="text1"/>
                <w:sz w:val="24"/>
                <w:szCs w:val="24"/>
              </w:rPr>
            </w:pPr>
            <w:r w:rsidRPr="00606092">
              <w:rPr>
                <w:rFonts w:ascii="Arial" w:hAnsi="Arial" w:cs="Arial"/>
              </w:rPr>
              <w:t>This module serves to develop employability skills with particular emphasis on the following: 1. Communication Skills (T</w:t>
            </w:r>
            <w:proofErr w:type="gramStart"/>
            <w:r w:rsidRPr="00606092">
              <w:rPr>
                <w:rFonts w:ascii="Arial" w:hAnsi="Arial" w:cs="Arial"/>
              </w:rPr>
              <w:t>,D,A</w:t>
            </w:r>
            <w:proofErr w:type="gramEnd"/>
            <w:r w:rsidRPr="00606092">
              <w:rPr>
                <w:rFonts w:ascii="Arial" w:hAnsi="Arial" w:cs="Arial"/>
              </w:rPr>
              <w:t>.) 2. Teamwork (D) 3. Organisation and Planning (D</w:t>
            </w:r>
            <w:proofErr w:type="gramStart"/>
            <w:r w:rsidRPr="00606092">
              <w:rPr>
                <w:rFonts w:ascii="Arial" w:hAnsi="Arial" w:cs="Arial"/>
              </w:rPr>
              <w:t>,T,A</w:t>
            </w:r>
            <w:proofErr w:type="gramEnd"/>
            <w:r w:rsidRPr="00606092">
              <w:rPr>
                <w:rFonts w:ascii="Arial" w:hAnsi="Arial" w:cs="Arial"/>
              </w:rPr>
              <w:t>.) 4. Self-Awareness (D) 5. Initiative (D</w:t>
            </w:r>
            <w:proofErr w:type="gramStart"/>
            <w:r w:rsidRPr="00606092">
              <w:rPr>
                <w:rFonts w:ascii="Arial" w:hAnsi="Arial" w:cs="Arial"/>
              </w:rPr>
              <w:t>,T,A</w:t>
            </w:r>
            <w:proofErr w:type="gramEnd"/>
            <w:r w:rsidRPr="00606092">
              <w:rPr>
                <w:rFonts w:ascii="Arial" w:hAnsi="Arial" w:cs="Arial"/>
              </w:rPr>
              <w:t>.) (Taught, Developed, Assessed)</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Indicative content</w:t>
            </w:r>
          </w:p>
          <w:p w:rsidR="00B510B7" w:rsidRPr="00B56FF5" w:rsidRDefault="00B510B7" w:rsidP="00D367D0">
            <w:pPr>
              <w:rPr>
                <w:rFonts w:ascii="Arial" w:hAnsi="Arial" w:cs="Arial"/>
                <w:b/>
                <w:color w:val="000000" w:themeColor="text1"/>
                <w:sz w:val="24"/>
                <w:szCs w:val="24"/>
              </w:rPr>
            </w:pPr>
          </w:p>
        </w:tc>
        <w:tc>
          <w:tcPr>
            <w:tcW w:w="7482" w:type="dxa"/>
            <w:gridSpan w:val="10"/>
          </w:tcPr>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1.</w:t>
            </w:r>
            <w:r w:rsidRPr="00606092">
              <w:rPr>
                <w:rFonts w:ascii="Arial" w:hAnsi="Arial" w:cs="Arial"/>
                <w:color w:val="000000" w:themeColor="text1"/>
              </w:rPr>
              <w:tab/>
              <w:t>Sources of Islamic Business Law</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2.</w:t>
            </w:r>
            <w:r w:rsidRPr="00606092">
              <w:rPr>
                <w:rFonts w:ascii="Arial" w:hAnsi="Arial" w:cs="Arial"/>
                <w:color w:val="000000" w:themeColor="text1"/>
              </w:rPr>
              <w:tab/>
            </w:r>
            <w:proofErr w:type="spellStart"/>
            <w:r w:rsidRPr="00606092">
              <w:rPr>
                <w:rFonts w:ascii="Arial" w:hAnsi="Arial" w:cs="Arial"/>
                <w:color w:val="000000" w:themeColor="text1"/>
              </w:rPr>
              <w:t>Sharia</w:t>
            </w:r>
            <w:proofErr w:type="spellEnd"/>
            <w:r w:rsidRPr="00606092">
              <w:rPr>
                <w:rFonts w:ascii="Arial" w:hAnsi="Arial" w:cs="Arial"/>
                <w:color w:val="000000" w:themeColor="text1"/>
              </w:rPr>
              <w:t xml:space="preserve"> Perspective on Commercial Transactions (Al-</w:t>
            </w:r>
            <w:proofErr w:type="spellStart"/>
            <w:r w:rsidRPr="00606092">
              <w:rPr>
                <w:rFonts w:ascii="Arial" w:hAnsi="Arial" w:cs="Arial"/>
                <w:color w:val="000000" w:themeColor="text1"/>
              </w:rPr>
              <w:t>Muamalat</w:t>
            </w:r>
            <w:proofErr w:type="spellEnd"/>
            <w:r w:rsidRPr="00606092">
              <w:rPr>
                <w:rFonts w:ascii="Arial" w:hAnsi="Arial" w:cs="Arial"/>
                <w:color w:val="000000" w:themeColor="text1"/>
              </w:rPr>
              <w:t>)</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3.</w:t>
            </w:r>
            <w:r w:rsidRPr="00606092">
              <w:rPr>
                <w:rFonts w:ascii="Arial" w:hAnsi="Arial" w:cs="Arial"/>
                <w:color w:val="000000" w:themeColor="text1"/>
              </w:rPr>
              <w:tab/>
              <w:t xml:space="preserve">Ownership and its characteristics in </w:t>
            </w:r>
            <w:proofErr w:type="spellStart"/>
            <w:r w:rsidRPr="00606092">
              <w:rPr>
                <w:rFonts w:ascii="Arial" w:hAnsi="Arial" w:cs="Arial"/>
                <w:color w:val="000000" w:themeColor="text1"/>
              </w:rPr>
              <w:t>Sharia</w:t>
            </w:r>
            <w:proofErr w:type="spellEnd"/>
            <w:r w:rsidRPr="00606092">
              <w:rPr>
                <w:rFonts w:ascii="Arial" w:hAnsi="Arial" w:cs="Arial"/>
                <w:color w:val="000000" w:themeColor="text1"/>
              </w:rPr>
              <w:t xml:space="preserve"> Law </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4.</w:t>
            </w:r>
            <w:r w:rsidRPr="00606092">
              <w:rPr>
                <w:rFonts w:ascii="Arial" w:hAnsi="Arial" w:cs="Arial"/>
                <w:color w:val="000000" w:themeColor="text1"/>
              </w:rPr>
              <w:tab/>
              <w:t>The Sales Contract (</w:t>
            </w:r>
            <w:proofErr w:type="spellStart"/>
            <w:r w:rsidRPr="00606092">
              <w:rPr>
                <w:rFonts w:ascii="Arial" w:hAnsi="Arial" w:cs="Arial"/>
                <w:color w:val="000000" w:themeColor="text1"/>
              </w:rPr>
              <w:t>Aqd</w:t>
            </w:r>
            <w:proofErr w:type="spellEnd"/>
            <w:r w:rsidRPr="00606092">
              <w:rPr>
                <w:rFonts w:ascii="Arial" w:hAnsi="Arial" w:cs="Arial"/>
                <w:color w:val="000000" w:themeColor="text1"/>
              </w:rPr>
              <w:t xml:space="preserve"> Al-Bay) </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5.</w:t>
            </w:r>
            <w:r w:rsidRPr="00606092">
              <w:rPr>
                <w:rFonts w:ascii="Arial" w:hAnsi="Arial" w:cs="Arial"/>
                <w:color w:val="000000" w:themeColor="text1"/>
              </w:rPr>
              <w:tab/>
              <w:t>The Agency Contract (</w:t>
            </w:r>
            <w:proofErr w:type="spellStart"/>
            <w:r w:rsidRPr="00606092">
              <w:rPr>
                <w:rFonts w:ascii="Arial" w:hAnsi="Arial" w:cs="Arial"/>
                <w:color w:val="000000" w:themeColor="text1"/>
              </w:rPr>
              <w:t>Aqd</w:t>
            </w:r>
            <w:proofErr w:type="spellEnd"/>
            <w:r w:rsidRPr="00606092">
              <w:rPr>
                <w:rFonts w:ascii="Arial" w:hAnsi="Arial" w:cs="Arial"/>
                <w:color w:val="000000" w:themeColor="text1"/>
              </w:rPr>
              <w:t xml:space="preserve"> Al-</w:t>
            </w:r>
            <w:proofErr w:type="spellStart"/>
            <w:r w:rsidRPr="00606092">
              <w:rPr>
                <w:rFonts w:ascii="Arial" w:hAnsi="Arial" w:cs="Arial"/>
                <w:color w:val="000000" w:themeColor="text1"/>
              </w:rPr>
              <w:t>Wakalah</w:t>
            </w:r>
            <w:proofErr w:type="spellEnd"/>
            <w:r w:rsidRPr="00606092">
              <w:rPr>
                <w:rFonts w:ascii="Arial" w:hAnsi="Arial" w:cs="Arial"/>
                <w:color w:val="000000" w:themeColor="text1"/>
              </w:rPr>
              <w:t xml:space="preserve">) </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6.</w:t>
            </w:r>
            <w:r w:rsidRPr="00606092">
              <w:rPr>
                <w:rFonts w:ascii="Arial" w:hAnsi="Arial" w:cs="Arial"/>
                <w:color w:val="000000" w:themeColor="text1"/>
              </w:rPr>
              <w:tab/>
              <w:t>Guaranty Al-</w:t>
            </w:r>
            <w:proofErr w:type="spellStart"/>
            <w:r w:rsidRPr="00606092">
              <w:rPr>
                <w:rFonts w:ascii="Arial" w:hAnsi="Arial" w:cs="Arial"/>
                <w:color w:val="000000" w:themeColor="text1"/>
              </w:rPr>
              <w:t>Kafalah</w:t>
            </w:r>
            <w:proofErr w:type="spellEnd"/>
            <w:r w:rsidRPr="00606092">
              <w:rPr>
                <w:rFonts w:ascii="Arial" w:hAnsi="Arial" w:cs="Arial"/>
                <w:color w:val="000000" w:themeColor="text1"/>
              </w:rPr>
              <w:t xml:space="preserve"> </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7.</w:t>
            </w:r>
            <w:r w:rsidRPr="00606092">
              <w:rPr>
                <w:rFonts w:ascii="Arial" w:hAnsi="Arial" w:cs="Arial"/>
                <w:color w:val="000000" w:themeColor="text1"/>
              </w:rPr>
              <w:tab/>
              <w:t>Transfer of debt (Al-</w:t>
            </w:r>
            <w:proofErr w:type="spellStart"/>
            <w:r w:rsidRPr="00606092">
              <w:rPr>
                <w:rFonts w:ascii="Arial" w:hAnsi="Arial" w:cs="Arial"/>
                <w:color w:val="000000" w:themeColor="text1"/>
              </w:rPr>
              <w:t>Hawalah</w:t>
            </w:r>
            <w:proofErr w:type="spellEnd"/>
            <w:r w:rsidRPr="00606092">
              <w:rPr>
                <w:rFonts w:ascii="Arial" w:hAnsi="Arial" w:cs="Arial"/>
                <w:color w:val="000000" w:themeColor="text1"/>
              </w:rPr>
              <w:t xml:space="preserve">) </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t>8.</w:t>
            </w:r>
            <w:r w:rsidRPr="00606092">
              <w:rPr>
                <w:rFonts w:ascii="Arial" w:hAnsi="Arial" w:cs="Arial"/>
                <w:color w:val="000000" w:themeColor="text1"/>
              </w:rPr>
              <w:tab/>
              <w:t>Pawning/Mortgage (Al-</w:t>
            </w:r>
            <w:proofErr w:type="spellStart"/>
            <w:r w:rsidRPr="00606092">
              <w:rPr>
                <w:rFonts w:ascii="Arial" w:hAnsi="Arial" w:cs="Arial"/>
                <w:color w:val="000000" w:themeColor="text1"/>
              </w:rPr>
              <w:t>Rahn</w:t>
            </w:r>
            <w:proofErr w:type="spellEnd"/>
            <w:r w:rsidRPr="00606092">
              <w:rPr>
                <w:rFonts w:ascii="Arial" w:hAnsi="Arial" w:cs="Arial"/>
                <w:color w:val="000000" w:themeColor="text1"/>
              </w:rPr>
              <w:t>)</w:t>
            </w:r>
          </w:p>
          <w:p w:rsidR="00606092" w:rsidRPr="00606092" w:rsidRDefault="00606092" w:rsidP="00606092">
            <w:pPr>
              <w:autoSpaceDE w:val="0"/>
              <w:autoSpaceDN w:val="0"/>
              <w:adjustRightInd w:val="0"/>
              <w:rPr>
                <w:rFonts w:ascii="Arial" w:hAnsi="Arial" w:cs="Arial"/>
                <w:color w:val="000000" w:themeColor="text1"/>
              </w:rPr>
            </w:pPr>
            <w:r w:rsidRPr="00606092">
              <w:rPr>
                <w:rFonts w:ascii="Arial" w:hAnsi="Arial" w:cs="Arial"/>
                <w:color w:val="000000" w:themeColor="text1"/>
              </w:rPr>
              <w:lastRenderedPageBreak/>
              <w:t>9.</w:t>
            </w:r>
            <w:r w:rsidRPr="00606092">
              <w:rPr>
                <w:rFonts w:ascii="Arial" w:hAnsi="Arial" w:cs="Arial"/>
                <w:color w:val="000000" w:themeColor="text1"/>
              </w:rPr>
              <w:tab/>
              <w:t>Islamic political economy</w:t>
            </w:r>
          </w:p>
          <w:p w:rsidR="00B510B7" w:rsidRPr="00B56FF5" w:rsidRDefault="00606092" w:rsidP="00606092">
            <w:pPr>
              <w:rPr>
                <w:rFonts w:ascii="Arial" w:hAnsi="Arial" w:cs="Arial"/>
                <w:color w:val="000000" w:themeColor="text1"/>
              </w:rPr>
            </w:pPr>
            <w:r w:rsidRPr="00606092">
              <w:rPr>
                <w:rFonts w:ascii="Arial" w:hAnsi="Arial" w:cs="Arial"/>
                <w:color w:val="000000" w:themeColor="text1"/>
              </w:rPr>
              <w:t>10.</w:t>
            </w:r>
            <w:r w:rsidRPr="00606092">
              <w:rPr>
                <w:rFonts w:ascii="Arial" w:hAnsi="Arial" w:cs="Arial"/>
                <w:color w:val="000000" w:themeColor="text1"/>
              </w:rPr>
              <w:tab/>
              <w:t>Islamic Business Law in contemporary Moslem  countries</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lastRenderedPageBreak/>
              <w:t>Learning outcomes</w:t>
            </w:r>
          </w:p>
        </w:tc>
        <w:tc>
          <w:tcPr>
            <w:tcW w:w="7482" w:type="dxa"/>
            <w:gridSpan w:val="10"/>
          </w:tcPr>
          <w:p w:rsidR="00FE3AC6" w:rsidRPr="0090045D" w:rsidRDefault="00FE3AC6" w:rsidP="00785979">
            <w:pPr>
              <w:pStyle w:val="ListParagraph"/>
              <w:numPr>
                <w:ilvl w:val="0"/>
                <w:numId w:val="14"/>
              </w:numPr>
              <w:jc w:val="both"/>
              <w:rPr>
                <w:rFonts w:eastAsia="Arial Unicode MS"/>
                <w:lang w:eastAsia="en-US"/>
              </w:rPr>
            </w:pPr>
            <w:r w:rsidRPr="0090045D">
              <w:rPr>
                <w:rFonts w:eastAsia="Arial Unicode MS"/>
              </w:rPr>
              <w:t>Demonstrate a masterly grasp of Islamic Business Law and its basic and auxiliary sources</w:t>
            </w:r>
            <w:r w:rsidR="00606092">
              <w:rPr>
                <w:rFonts w:eastAsia="Arial Unicode MS"/>
              </w:rPr>
              <w:t xml:space="preserve"> and norms</w:t>
            </w:r>
          </w:p>
          <w:p w:rsidR="00327940" w:rsidRPr="0090045D" w:rsidRDefault="00FE3AC6" w:rsidP="00785979">
            <w:pPr>
              <w:pStyle w:val="ListParagraph"/>
              <w:numPr>
                <w:ilvl w:val="0"/>
                <w:numId w:val="14"/>
              </w:numPr>
              <w:jc w:val="both"/>
              <w:rPr>
                <w:rFonts w:eastAsia="Arial Unicode MS"/>
                <w:lang w:val="en-GB" w:eastAsia="en-US"/>
              </w:rPr>
            </w:pPr>
            <w:r w:rsidRPr="0090045D">
              <w:rPr>
                <w:rFonts w:eastAsia="Arial Unicode MS"/>
                <w:lang w:val="en-GB"/>
              </w:rPr>
              <w:t>Develop in depth knowledge of typology of corporate entities, entities and the basic principles of Islamic Business Law</w:t>
            </w:r>
          </w:p>
          <w:p w:rsidR="00B510B7" w:rsidRPr="0090045D" w:rsidRDefault="00327940" w:rsidP="00785979">
            <w:pPr>
              <w:pStyle w:val="ListParagraph"/>
              <w:numPr>
                <w:ilvl w:val="0"/>
                <w:numId w:val="14"/>
              </w:numPr>
              <w:jc w:val="both"/>
              <w:rPr>
                <w:rFonts w:ascii="Arial Narrow" w:eastAsia="Times New Roman" w:hAnsi="Arial Narrow"/>
                <w:sz w:val="20"/>
                <w:szCs w:val="20"/>
                <w:lang w:val="en-GB" w:eastAsia="en-US"/>
              </w:rPr>
            </w:pPr>
            <w:r w:rsidRPr="0090045D">
              <w:rPr>
                <w:rFonts w:eastAsia="Arial Unicode MS"/>
              </w:rPr>
              <w:t xml:space="preserve">Demonstrate a masterly grasp </w:t>
            </w:r>
            <w:r w:rsidR="00785979" w:rsidRPr="0090045D">
              <w:rPr>
                <w:rFonts w:eastAsia="Arial Unicode MS"/>
              </w:rPr>
              <w:t xml:space="preserve">of </w:t>
            </w:r>
            <w:r w:rsidRPr="0090045D">
              <w:rPr>
                <w:rFonts w:eastAsia="Arial Unicode MS"/>
              </w:rPr>
              <w:t>Property</w:t>
            </w:r>
            <w:r w:rsidR="00FE3AC6" w:rsidRPr="0090045D">
              <w:rPr>
                <w:rFonts w:eastAsia="Arial Unicode MS"/>
              </w:rPr>
              <w:t xml:space="preserve"> liability of legal entities and application of Islamic Business Law in contemporary conditions</w:t>
            </w:r>
            <w:r w:rsidR="00FE3AC6" w:rsidRPr="0090045D">
              <w:t>.</w:t>
            </w:r>
          </w:p>
          <w:p w:rsidR="0090045D" w:rsidRPr="00327940" w:rsidRDefault="0090045D" w:rsidP="0090045D">
            <w:pPr>
              <w:pStyle w:val="ListParagraph"/>
              <w:ind w:left="360"/>
              <w:jc w:val="both"/>
              <w:rPr>
                <w:rFonts w:ascii="Arial Narrow" w:eastAsia="Times New Roman" w:hAnsi="Arial Narrow"/>
                <w:sz w:val="20"/>
                <w:szCs w:val="20"/>
                <w:lang w:val="en-GB" w:eastAsia="en-US"/>
              </w:rPr>
            </w:pP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Learning and teaching strategy</w:t>
            </w:r>
          </w:p>
          <w:p w:rsidR="008468A4" w:rsidRPr="00B56FF5" w:rsidRDefault="008468A4" w:rsidP="00D367D0">
            <w:pPr>
              <w:rPr>
                <w:rFonts w:ascii="Arial" w:hAnsi="Arial" w:cs="Arial"/>
                <w:b/>
                <w:color w:val="000000" w:themeColor="text1"/>
                <w:sz w:val="24"/>
                <w:szCs w:val="24"/>
              </w:rPr>
            </w:pPr>
            <w:r w:rsidRPr="00B56FF5">
              <w:rPr>
                <w:rFonts w:ascii="Arial" w:hAnsi="Arial" w:cs="Arial"/>
                <w:b/>
                <w:color w:val="000000" w:themeColor="text1"/>
                <w:sz w:val="24"/>
                <w:szCs w:val="24"/>
              </w:rPr>
              <w:t>(200 words max)</w:t>
            </w:r>
          </w:p>
          <w:p w:rsidR="00B510B7" w:rsidRPr="00B56FF5" w:rsidRDefault="00B510B7" w:rsidP="00D367D0">
            <w:pPr>
              <w:rPr>
                <w:rFonts w:ascii="Arial" w:hAnsi="Arial" w:cs="Arial"/>
                <w:b/>
                <w:color w:val="000000" w:themeColor="text1"/>
                <w:sz w:val="24"/>
                <w:szCs w:val="24"/>
              </w:rPr>
            </w:pPr>
          </w:p>
        </w:tc>
        <w:tc>
          <w:tcPr>
            <w:tcW w:w="7482" w:type="dxa"/>
            <w:gridSpan w:val="10"/>
          </w:tcPr>
          <w:p w:rsidR="00D367D0" w:rsidRPr="00B56FF5" w:rsidRDefault="009F7E2F" w:rsidP="00D367D0">
            <w:pPr>
              <w:rPr>
                <w:rFonts w:ascii="Arial" w:hAnsi="Arial" w:cs="Arial"/>
                <w:color w:val="000000" w:themeColor="text1"/>
              </w:rPr>
            </w:pPr>
            <w:r w:rsidRPr="00B56FF5">
              <w:rPr>
                <w:rFonts w:ascii="Helvetica" w:hAnsi="Helvetica" w:cs="Helvetica"/>
                <w:color w:val="000000" w:themeColor="text1"/>
                <w:sz w:val="21"/>
                <w:szCs w:val="21"/>
              </w:rPr>
              <w:t>The activities you undertake during formal lectures will be directed towards evaluating your understan</w:t>
            </w:r>
            <w:r w:rsidR="00B56FF5">
              <w:rPr>
                <w:rFonts w:ascii="Helvetica" w:hAnsi="Helvetica" w:cs="Helvetica"/>
                <w:color w:val="000000" w:themeColor="text1"/>
                <w:sz w:val="21"/>
                <w:szCs w:val="21"/>
              </w:rPr>
              <w:t>ding of l</w:t>
            </w:r>
            <w:r w:rsidR="003843CE" w:rsidRPr="00B56FF5">
              <w:rPr>
                <w:rFonts w:ascii="Helvetica" w:hAnsi="Helvetica" w:cs="Helvetica"/>
                <w:color w:val="000000" w:themeColor="text1"/>
                <w:sz w:val="21"/>
                <w:szCs w:val="21"/>
              </w:rPr>
              <w:t xml:space="preserve">aw in </w:t>
            </w:r>
            <w:r w:rsidR="00B56FF5">
              <w:rPr>
                <w:rFonts w:ascii="Helvetica" w:hAnsi="Helvetica" w:cs="Helvetica"/>
                <w:color w:val="000000" w:themeColor="text1"/>
                <w:sz w:val="21"/>
                <w:szCs w:val="21"/>
              </w:rPr>
              <w:t>Islamic b</w:t>
            </w:r>
            <w:r w:rsidRPr="00B56FF5">
              <w:rPr>
                <w:rFonts w:ascii="Helvetica" w:hAnsi="Helvetica" w:cs="Helvetica"/>
                <w:color w:val="000000" w:themeColor="text1"/>
                <w:sz w:val="21"/>
                <w:szCs w:val="21"/>
              </w:rPr>
              <w:t>anking</w:t>
            </w:r>
            <w:r w:rsidR="003843CE" w:rsidRPr="00B56FF5">
              <w:rPr>
                <w:rFonts w:ascii="Helvetica" w:hAnsi="Helvetica" w:cs="Helvetica"/>
                <w:color w:val="000000" w:themeColor="text1"/>
                <w:sz w:val="21"/>
                <w:szCs w:val="21"/>
              </w:rPr>
              <w:t xml:space="preserve"> and Islamic finance in general</w:t>
            </w:r>
            <w:r w:rsidRPr="00B56FF5">
              <w:rPr>
                <w:rFonts w:ascii="Helvetica" w:hAnsi="Helvetica" w:cs="Helvetica"/>
                <w:color w:val="000000" w:themeColor="text1"/>
                <w:sz w:val="21"/>
                <w:szCs w:val="21"/>
              </w:rPr>
              <w:t>.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B56FF5" w:rsidRPr="00B56FF5" w:rsidTr="00606092">
        <w:trPr>
          <w:trHeight w:val="477"/>
        </w:trPr>
        <w:tc>
          <w:tcPr>
            <w:tcW w:w="2204" w:type="dxa"/>
            <w:vMerge w:val="restart"/>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Learning and teaching methods</w:t>
            </w:r>
          </w:p>
          <w:p w:rsidR="001A03DD" w:rsidRPr="00B56FF5" w:rsidRDefault="001A03DD" w:rsidP="00D367D0">
            <w:pPr>
              <w:rPr>
                <w:rFonts w:ascii="Arial" w:hAnsi="Arial" w:cs="Arial"/>
                <w:b/>
                <w:color w:val="000000" w:themeColor="text1"/>
                <w:sz w:val="24"/>
                <w:szCs w:val="24"/>
              </w:rPr>
            </w:pPr>
          </w:p>
          <w:p w:rsidR="001A03DD" w:rsidRPr="00B56FF5" w:rsidRDefault="001A03DD" w:rsidP="001A03DD">
            <w:pPr>
              <w:rPr>
                <w:rFonts w:ascii="Arial" w:hAnsi="Arial" w:cs="Arial"/>
                <w:b/>
                <w:i/>
                <w:color w:val="000000" w:themeColor="text1"/>
                <w:sz w:val="24"/>
                <w:szCs w:val="24"/>
              </w:rPr>
            </w:pPr>
            <w:r w:rsidRPr="00B56FF5">
              <w:rPr>
                <w:rFonts w:ascii="Arial" w:hAnsi="Arial" w:cs="Arial"/>
                <w:b/>
                <w:i/>
                <w:color w:val="000000" w:themeColor="text1"/>
                <w:sz w:val="24"/>
                <w:szCs w:val="24"/>
              </w:rPr>
              <w:t>(any ‘scheduled’ categories, refers to class contact time – ensure this is realistic as audits for QAA will be tested)</w:t>
            </w:r>
          </w:p>
        </w:tc>
        <w:tc>
          <w:tcPr>
            <w:tcW w:w="3018" w:type="dxa"/>
            <w:gridSpan w:val="5"/>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Method</w:t>
            </w:r>
          </w:p>
        </w:tc>
        <w:tc>
          <w:tcPr>
            <w:tcW w:w="2000" w:type="dxa"/>
            <w:gridSpan w:val="2"/>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KIS category</w:t>
            </w:r>
          </w:p>
        </w:tc>
        <w:tc>
          <w:tcPr>
            <w:tcW w:w="2464" w:type="dxa"/>
            <w:gridSpan w:val="3"/>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Hours per module</w:t>
            </w: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 xml:space="preserve">Lectures </w:t>
            </w:r>
          </w:p>
        </w:tc>
        <w:tc>
          <w:tcPr>
            <w:tcW w:w="2000" w:type="dxa"/>
            <w:gridSpan w:val="2"/>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Scheduled</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20</w:t>
            </w:r>
            <w:r w:rsidR="003843CE" w:rsidRPr="00B56FF5">
              <w:rPr>
                <w:rFonts w:ascii="Arial" w:hAnsi="Arial" w:cs="Arial"/>
                <w:color w:val="000000" w:themeColor="text1"/>
              </w:rPr>
              <w:t xml:space="preserve"> </w:t>
            </w: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 xml:space="preserve">Seminars </w:t>
            </w:r>
          </w:p>
        </w:tc>
        <w:tc>
          <w:tcPr>
            <w:tcW w:w="2000" w:type="dxa"/>
            <w:gridSpan w:val="2"/>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Scheduled</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10</w:t>
            </w: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Guided independent Learning</w:t>
            </w:r>
          </w:p>
        </w:tc>
        <w:tc>
          <w:tcPr>
            <w:tcW w:w="2000" w:type="dxa"/>
            <w:gridSpan w:val="2"/>
          </w:tcPr>
          <w:p w:rsidR="00B510B7" w:rsidRPr="00B56FF5" w:rsidRDefault="00E66D8F" w:rsidP="00D367D0">
            <w:pPr>
              <w:rPr>
                <w:rFonts w:ascii="Arial" w:hAnsi="Arial" w:cs="Arial"/>
                <w:color w:val="000000" w:themeColor="text1"/>
              </w:rPr>
            </w:pPr>
            <w:r w:rsidRPr="00B56FF5">
              <w:rPr>
                <w:rFonts w:ascii="Arial" w:hAnsi="Arial" w:cs="Arial"/>
                <w:color w:val="000000" w:themeColor="text1"/>
              </w:rPr>
              <w:t xml:space="preserve">Independent </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90</w:t>
            </w:r>
            <w:r w:rsidR="003843CE" w:rsidRPr="00B56FF5">
              <w:rPr>
                <w:rFonts w:ascii="Arial" w:hAnsi="Arial" w:cs="Arial"/>
                <w:color w:val="000000" w:themeColor="text1"/>
              </w:rPr>
              <w:t xml:space="preserve"> </w:t>
            </w: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3018" w:type="dxa"/>
            <w:gridSpan w:val="5"/>
          </w:tcPr>
          <w:p w:rsidR="00B510B7" w:rsidRPr="00B56FF5" w:rsidRDefault="00B510B7" w:rsidP="00D367D0">
            <w:pPr>
              <w:rPr>
                <w:rFonts w:ascii="Arial" w:hAnsi="Arial" w:cs="Arial"/>
                <w:color w:val="000000" w:themeColor="text1"/>
              </w:rPr>
            </w:pPr>
          </w:p>
        </w:tc>
        <w:tc>
          <w:tcPr>
            <w:tcW w:w="2000" w:type="dxa"/>
            <w:gridSpan w:val="2"/>
          </w:tcPr>
          <w:p w:rsidR="00B510B7" w:rsidRPr="00B56FF5" w:rsidRDefault="00B510B7" w:rsidP="00D367D0">
            <w:pPr>
              <w:rPr>
                <w:rFonts w:ascii="Arial" w:hAnsi="Arial" w:cs="Arial"/>
                <w:color w:val="000000" w:themeColor="text1"/>
              </w:rPr>
            </w:pPr>
          </w:p>
        </w:tc>
        <w:tc>
          <w:tcPr>
            <w:tcW w:w="2464" w:type="dxa"/>
            <w:gridSpan w:val="3"/>
          </w:tcPr>
          <w:p w:rsidR="00B510B7" w:rsidRPr="00B56FF5" w:rsidRDefault="00B510B7" w:rsidP="00D367D0">
            <w:pPr>
              <w:jc w:val="both"/>
              <w:rPr>
                <w:rFonts w:ascii="Arial" w:hAnsi="Arial" w:cs="Arial"/>
                <w:color w:val="000000" w:themeColor="text1"/>
              </w:rPr>
            </w:pPr>
          </w:p>
        </w:tc>
      </w:tr>
      <w:tr w:rsidR="00B56FF5" w:rsidRPr="00B56FF5" w:rsidTr="00606092">
        <w:trPr>
          <w:trHeight w:val="122"/>
        </w:trPr>
        <w:tc>
          <w:tcPr>
            <w:tcW w:w="2204" w:type="dxa"/>
            <w:vMerge/>
          </w:tcPr>
          <w:p w:rsidR="00B510B7" w:rsidRPr="00B56FF5" w:rsidRDefault="00B510B7" w:rsidP="00D367D0">
            <w:pPr>
              <w:rPr>
                <w:rFonts w:ascii="Arial" w:hAnsi="Arial" w:cs="Arial"/>
                <w:b/>
                <w:color w:val="000000" w:themeColor="text1"/>
                <w:sz w:val="24"/>
                <w:szCs w:val="24"/>
              </w:rPr>
            </w:pPr>
          </w:p>
        </w:tc>
        <w:tc>
          <w:tcPr>
            <w:tcW w:w="5018" w:type="dxa"/>
            <w:gridSpan w:val="7"/>
          </w:tcPr>
          <w:p w:rsidR="00B510B7" w:rsidRPr="00B56FF5" w:rsidRDefault="00B510B7" w:rsidP="00D367D0">
            <w:pPr>
              <w:rPr>
                <w:rFonts w:ascii="Arial" w:hAnsi="Arial" w:cs="Arial"/>
                <w:b/>
                <w:color w:val="000000" w:themeColor="text1"/>
              </w:rPr>
            </w:pPr>
            <w:r w:rsidRPr="00B56FF5">
              <w:rPr>
                <w:rFonts w:ascii="Arial" w:hAnsi="Arial" w:cs="Arial"/>
                <w:b/>
                <w:color w:val="000000" w:themeColor="text1"/>
              </w:rPr>
              <w:t>Total</w:t>
            </w:r>
          </w:p>
        </w:tc>
        <w:tc>
          <w:tcPr>
            <w:tcW w:w="2464" w:type="dxa"/>
            <w:gridSpan w:val="3"/>
          </w:tcPr>
          <w:p w:rsidR="00B510B7" w:rsidRPr="00B56FF5" w:rsidRDefault="00E66D8F" w:rsidP="00D367D0">
            <w:pPr>
              <w:jc w:val="both"/>
              <w:rPr>
                <w:rFonts w:ascii="Arial" w:hAnsi="Arial" w:cs="Arial"/>
                <w:color w:val="000000" w:themeColor="text1"/>
              </w:rPr>
            </w:pPr>
            <w:r w:rsidRPr="00B56FF5">
              <w:rPr>
                <w:rFonts w:ascii="Arial" w:hAnsi="Arial" w:cs="Arial"/>
                <w:color w:val="000000" w:themeColor="text1"/>
              </w:rPr>
              <w:t>120</w:t>
            </w:r>
          </w:p>
        </w:tc>
      </w:tr>
      <w:tr w:rsidR="00B56FF5" w:rsidRPr="00B56FF5" w:rsidTr="00606092">
        <w:trPr>
          <w:trHeight w:val="138"/>
        </w:trPr>
        <w:tc>
          <w:tcPr>
            <w:tcW w:w="2204" w:type="dxa"/>
            <w:vMerge w:val="restart"/>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KIS summary</w:t>
            </w:r>
          </w:p>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(learning and teaching)</w:t>
            </w:r>
          </w:p>
        </w:tc>
        <w:tc>
          <w:tcPr>
            <w:tcW w:w="1934" w:type="dxa"/>
            <w:gridSpan w:val="3"/>
          </w:tcPr>
          <w:p w:rsidR="00B510B7" w:rsidRPr="00B56FF5" w:rsidRDefault="00B510B7" w:rsidP="00D367D0">
            <w:pPr>
              <w:rPr>
                <w:rFonts w:ascii="Arial" w:hAnsi="Arial" w:cs="Arial"/>
                <w:color w:val="000000" w:themeColor="text1"/>
              </w:rPr>
            </w:pPr>
          </w:p>
        </w:tc>
        <w:tc>
          <w:tcPr>
            <w:tcW w:w="5548" w:type="dxa"/>
            <w:gridSpan w:val="7"/>
          </w:tcPr>
          <w:p w:rsidR="00B510B7" w:rsidRPr="00B56FF5" w:rsidRDefault="00B510B7" w:rsidP="00D367D0">
            <w:pPr>
              <w:jc w:val="center"/>
              <w:rPr>
                <w:rFonts w:ascii="Arial" w:hAnsi="Arial" w:cs="Arial"/>
                <w:color w:val="000000" w:themeColor="text1"/>
              </w:rPr>
            </w:pPr>
          </w:p>
          <w:p w:rsidR="00B510B7" w:rsidRPr="00B56FF5" w:rsidRDefault="00B510B7" w:rsidP="00D367D0">
            <w:pPr>
              <w:rPr>
                <w:rFonts w:ascii="Arial" w:hAnsi="Arial" w:cs="Arial"/>
                <w:color w:val="000000" w:themeColor="text1"/>
              </w:rPr>
            </w:pPr>
            <w:r w:rsidRPr="00B56FF5">
              <w:rPr>
                <w:rFonts w:ascii="Arial" w:hAnsi="Arial" w:cs="Arial"/>
                <w:color w:val="000000" w:themeColor="text1"/>
              </w:rPr>
              <w:t>%</w:t>
            </w:r>
          </w:p>
        </w:tc>
      </w:tr>
      <w:tr w:rsidR="00B56FF5" w:rsidRPr="00B56FF5" w:rsidTr="00606092">
        <w:trPr>
          <w:trHeight w:val="138"/>
        </w:trPr>
        <w:tc>
          <w:tcPr>
            <w:tcW w:w="2204" w:type="dxa"/>
            <w:vMerge/>
          </w:tcPr>
          <w:p w:rsidR="00B510B7" w:rsidRPr="00B56FF5" w:rsidRDefault="00B510B7" w:rsidP="00D367D0">
            <w:pPr>
              <w:rPr>
                <w:rFonts w:ascii="Arial" w:hAnsi="Arial" w:cs="Arial"/>
                <w:b/>
                <w:color w:val="000000" w:themeColor="text1"/>
                <w:sz w:val="24"/>
                <w:szCs w:val="24"/>
              </w:rPr>
            </w:pPr>
          </w:p>
        </w:tc>
        <w:tc>
          <w:tcPr>
            <w:tcW w:w="1934" w:type="dxa"/>
            <w:gridSpan w:val="3"/>
          </w:tcPr>
          <w:p w:rsidR="00B510B7" w:rsidRPr="00B56FF5" w:rsidRDefault="00B510B7" w:rsidP="00D367D0">
            <w:pPr>
              <w:rPr>
                <w:rFonts w:ascii="Arial" w:hAnsi="Arial" w:cs="Arial"/>
                <w:color w:val="000000" w:themeColor="text1"/>
              </w:rPr>
            </w:pPr>
            <w:r w:rsidRPr="00B56FF5">
              <w:rPr>
                <w:rFonts w:ascii="Arial" w:hAnsi="Arial" w:cs="Arial"/>
                <w:color w:val="000000" w:themeColor="text1"/>
              </w:rPr>
              <w:t>Scheduled</w:t>
            </w:r>
          </w:p>
        </w:tc>
        <w:tc>
          <w:tcPr>
            <w:tcW w:w="5548" w:type="dxa"/>
            <w:gridSpan w:val="7"/>
          </w:tcPr>
          <w:p w:rsidR="00B510B7" w:rsidRPr="00B56FF5" w:rsidRDefault="003843CE" w:rsidP="00D367D0">
            <w:pPr>
              <w:rPr>
                <w:rFonts w:ascii="Arial" w:hAnsi="Arial" w:cs="Arial"/>
                <w:color w:val="000000" w:themeColor="text1"/>
              </w:rPr>
            </w:pPr>
            <w:r w:rsidRPr="00B56FF5">
              <w:rPr>
                <w:rFonts w:ascii="Arial" w:hAnsi="Arial" w:cs="Arial"/>
                <w:color w:val="000000" w:themeColor="text1"/>
              </w:rPr>
              <w:t xml:space="preserve">25  </w:t>
            </w:r>
          </w:p>
        </w:tc>
      </w:tr>
      <w:tr w:rsidR="00B56FF5" w:rsidRPr="00B56FF5" w:rsidTr="00606092">
        <w:trPr>
          <w:trHeight w:val="138"/>
        </w:trPr>
        <w:tc>
          <w:tcPr>
            <w:tcW w:w="2204" w:type="dxa"/>
            <w:vMerge/>
          </w:tcPr>
          <w:p w:rsidR="00B510B7" w:rsidRPr="00B56FF5" w:rsidRDefault="00B510B7" w:rsidP="00D367D0">
            <w:pPr>
              <w:rPr>
                <w:rFonts w:ascii="Arial" w:hAnsi="Arial" w:cs="Arial"/>
                <w:b/>
                <w:color w:val="000000" w:themeColor="text1"/>
                <w:sz w:val="24"/>
                <w:szCs w:val="24"/>
              </w:rPr>
            </w:pPr>
          </w:p>
        </w:tc>
        <w:tc>
          <w:tcPr>
            <w:tcW w:w="1934" w:type="dxa"/>
            <w:gridSpan w:val="3"/>
          </w:tcPr>
          <w:p w:rsidR="00B510B7" w:rsidRPr="00B56FF5" w:rsidRDefault="00B510B7" w:rsidP="00D367D0">
            <w:pPr>
              <w:rPr>
                <w:rFonts w:ascii="Arial" w:hAnsi="Arial" w:cs="Arial"/>
                <w:color w:val="000000" w:themeColor="text1"/>
              </w:rPr>
            </w:pPr>
            <w:r w:rsidRPr="00B56FF5">
              <w:rPr>
                <w:rFonts w:ascii="Arial" w:hAnsi="Arial" w:cs="Arial"/>
                <w:color w:val="000000" w:themeColor="text1"/>
              </w:rPr>
              <w:t>Independent</w:t>
            </w:r>
          </w:p>
        </w:tc>
        <w:tc>
          <w:tcPr>
            <w:tcW w:w="5548" w:type="dxa"/>
            <w:gridSpan w:val="7"/>
          </w:tcPr>
          <w:p w:rsidR="00B510B7" w:rsidRPr="00B56FF5" w:rsidRDefault="00972E02" w:rsidP="00D367D0">
            <w:pPr>
              <w:rPr>
                <w:rFonts w:ascii="Arial" w:hAnsi="Arial" w:cs="Arial"/>
                <w:color w:val="000000" w:themeColor="text1"/>
              </w:rPr>
            </w:pPr>
            <w:r w:rsidRPr="00B56FF5">
              <w:rPr>
                <w:rFonts w:ascii="Arial" w:hAnsi="Arial" w:cs="Arial"/>
                <w:color w:val="000000" w:themeColor="text1"/>
              </w:rPr>
              <w:t>75</w:t>
            </w:r>
          </w:p>
        </w:tc>
      </w:tr>
      <w:tr w:rsidR="00B56FF5" w:rsidRPr="00B56FF5" w:rsidTr="00606092">
        <w:trPr>
          <w:trHeight w:val="138"/>
        </w:trPr>
        <w:tc>
          <w:tcPr>
            <w:tcW w:w="2204" w:type="dxa"/>
            <w:vMerge/>
          </w:tcPr>
          <w:p w:rsidR="00B510B7" w:rsidRPr="00B56FF5" w:rsidRDefault="00B510B7" w:rsidP="00D367D0">
            <w:pPr>
              <w:rPr>
                <w:rFonts w:ascii="Arial" w:hAnsi="Arial" w:cs="Arial"/>
                <w:b/>
                <w:color w:val="000000" w:themeColor="text1"/>
                <w:sz w:val="24"/>
                <w:szCs w:val="24"/>
              </w:rPr>
            </w:pPr>
          </w:p>
        </w:tc>
        <w:tc>
          <w:tcPr>
            <w:tcW w:w="1934" w:type="dxa"/>
            <w:gridSpan w:val="3"/>
          </w:tcPr>
          <w:p w:rsidR="00B510B7" w:rsidRPr="00B56FF5" w:rsidRDefault="00B510B7" w:rsidP="00D367D0">
            <w:pPr>
              <w:rPr>
                <w:rFonts w:ascii="Arial" w:hAnsi="Arial" w:cs="Arial"/>
                <w:color w:val="000000" w:themeColor="text1"/>
              </w:rPr>
            </w:pPr>
            <w:r w:rsidRPr="00B56FF5">
              <w:rPr>
                <w:rFonts w:ascii="Arial" w:hAnsi="Arial" w:cs="Arial"/>
                <w:color w:val="000000" w:themeColor="text1"/>
              </w:rPr>
              <w:t>Placement</w:t>
            </w:r>
          </w:p>
        </w:tc>
        <w:tc>
          <w:tcPr>
            <w:tcW w:w="5548" w:type="dxa"/>
            <w:gridSpan w:val="7"/>
          </w:tcPr>
          <w:p w:rsidR="00B510B7" w:rsidRPr="00B56FF5" w:rsidRDefault="00B510B7" w:rsidP="00D367D0">
            <w:pPr>
              <w:rPr>
                <w:rFonts w:ascii="Arial" w:hAnsi="Arial" w:cs="Arial"/>
                <w:color w:val="000000" w:themeColor="text1"/>
              </w:rPr>
            </w:pP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Formative assessment strategy</w:t>
            </w:r>
          </w:p>
          <w:p w:rsidR="008468A4" w:rsidRPr="00B56FF5" w:rsidRDefault="008468A4" w:rsidP="00D367D0">
            <w:pPr>
              <w:rPr>
                <w:rFonts w:ascii="Arial" w:hAnsi="Arial" w:cs="Arial"/>
                <w:b/>
                <w:color w:val="000000" w:themeColor="text1"/>
                <w:sz w:val="24"/>
                <w:szCs w:val="24"/>
              </w:rPr>
            </w:pPr>
            <w:r w:rsidRPr="00B56FF5">
              <w:rPr>
                <w:rFonts w:ascii="Arial" w:hAnsi="Arial" w:cs="Arial"/>
                <w:b/>
                <w:color w:val="000000" w:themeColor="text1"/>
                <w:sz w:val="24"/>
                <w:szCs w:val="24"/>
              </w:rPr>
              <w:t>(200 words max|)</w:t>
            </w:r>
          </w:p>
          <w:p w:rsidR="00B510B7" w:rsidRPr="00B56FF5" w:rsidRDefault="00B510B7" w:rsidP="00D367D0">
            <w:pPr>
              <w:rPr>
                <w:rFonts w:ascii="Arial" w:hAnsi="Arial" w:cs="Arial"/>
                <w:b/>
                <w:color w:val="000000" w:themeColor="text1"/>
                <w:sz w:val="24"/>
                <w:szCs w:val="24"/>
              </w:rPr>
            </w:pPr>
          </w:p>
        </w:tc>
        <w:tc>
          <w:tcPr>
            <w:tcW w:w="7482" w:type="dxa"/>
            <w:gridSpan w:val="10"/>
          </w:tcPr>
          <w:p w:rsidR="00BB3572" w:rsidRPr="00B56FF5" w:rsidRDefault="00BB3572" w:rsidP="00BB3572">
            <w:pPr>
              <w:pStyle w:val="Default"/>
              <w:rPr>
                <w:color w:val="000000" w:themeColor="text1"/>
                <w:sz w:val="22"/>
                <w:szCs w:val="22"/>
              </w:rPr>
            </w:pPr>
            <w:r w:rsidRPr="00B56FF5">
              <w:rPr>
                <w:color w:val="000000" w:themeColor="text1"/>
                <w:sz w:val="22"/>
                <w:szCs w:val="22"/>
              </w:rPr>
              <w:t xml:space="preserve">Formative assessment strategy for this module consists of various methods such as: </w:t>
            </w:r>
          </w:p>
          <w:p w:rsidR="00BB3572" w:rsidRPr="00B56FF5" w:rsidRDefault="00B56FF5" w:rsidP="00B56FF5">
            <w:pPr>
              <w:pStyle w:val="Default"/>
              <w:rPr>
                <w:color w:val="000000" w:themeColor="text1"/>
                <w:sz w:val="22"/>
                <w:szCs w:val="22"/>
              </w:rPr>
            </w:pPr>
            <w:r>
              <w:rPr>
                <w:rFonts w:ascii="Helvetica" w:hAnsi="Helvetica" w:cs="Helvetica"/>
                <w:color w:val="000000" w:themeColor="text1"/>
                <w:sz w:val="21"/>
                <w:szCs w:val="21"/>
              </w:rPr>
              <w:t>In class activity</w:t>
            </w:r>
            <w:r w:rsidR="003843CE" w:rsidRPr="00B56FF5">
              <w:rPr>
                <w:rFonts w:ascii="Helvetica" w:hAnsi="Helvetica" w:cs="Helvetica"/>
                <w:color w:val="000000" w:themeColor="text1"/>
                <w:sz w:val="21"/>
                <w:szCs w:val="21"/>
              </w:rPr>
              <w:t xml:space="preserve">: </w:t>
            </w:r>
            <w:r>
              <w:rPr>
                <w:rFonts w:ascii="Helvetica" w:hAnsi="Helvetica" w:cs="Helvetica"/>
                <w:color w:val="000000" w:themeColor="text1"/>
                <w:sz w:val="21"/>
                <w:szCs w:val="21"/>
              </w:rPr>
              <w:t>students will participate in discussions-problem approach and discussions-debate which wil</w:t>
            </w:r>
            <w:r w:rsidRPr="00A91C84">
              <w:rPr>
                <w:rFonts w:ascii="Helvetica" w:hAnsi="Helvetica" w:cs="Helvetica"/>
                <w:color w:val="000000" w:themeColor="text1"/>
                <w:sz w:val="21"/>
                <w:szCs w:val="21"/>
              </w:rPr>
              <w:t>l consolidate and develop u</w:t>
            </w:r>
            <w:r>
              <w:rPr>
                <w:rFonts w:ascii="Helvetica" w:hAnsi="Helvetica" w:cs="Helvetica"/>
                <w:color w:val="000000" w:themeColor="text1"/>
                <w:sz w:val="21"/>
                <w:szCs w:val="21"/>
              </w:rPr>
              <w:t xml:space="preserve">nderpinning knowledge, provide opportunities for students </w:t>
            </w:r>
            <w:r w:rsidRPr="00A91C84">
              <w:rPr>
                <w:rFonts w:ascii="Helvetica" w:hAnsi="Helvetica" w:cs="Helvetica"/>
                <w:color w:val="000000" w:themeColor="text1"/>
                <w:sz w:val="21"/>
                <w:szCs w:val="21"/>
              </w:rPr>
              <w:t>to develop</w:t>
            </w:r>
            <w:r>
              <w:rPr>
                <w:rFonts w:ascii="Helvetica" w:hAnsi="Helvetica" w:cs="Helvetica"/>
                <w:color w:val="000000" w:themeColor="text1"/>
                <w:sz w:val="21"/>
                <w:szCs w:val="21"/>
              </w:rPr>
              <w:t xml:space="preserve"> analytical and problem solving. </w:t>
            </w:r>
            <w:r w:rsidR="00BB3572" w:rsidRPr="00B56FF5">
              <w:rPr>
                <w:rFonts w:ascii="Helvetica" w:hAnsi="Helvetica" w:cs="Helvetica"/>
                <w:color w:val="000000" w:themeColor="text1"/>
                <w:sz w:val="21"/>
                <w:szCs w:val="21"/>
              </w:rPr>
              <w:t>Assessment preparation: Examination skills techniques will include working on practice examination questions for which feedback will be provided.</w:t>
            </w:r>
          </w:p>
        </w:tc>
      </w:tr>
      <w:tr w:rsidR="00B56FF5" w:rsidRPr="00B56FF5" w:rsidTr="00606092">
        <w:tc>
          <w:tcPr>
            <w:tcW w:w="2204" w:type="dxa"/>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t>Summative assessment strategy</w:t>
            </w:r>
          </w:p>
          <w:p w:rsidR="008468A4" w:rsidRPr="00B56FF5" w:rsidRDefault="008468A4" w:rsidP="00D367D0">
            <w:pPr>
              <w:rPr>
                <w:rFonts w:ascii="Arial" w:hAnsi="Arial" w:cs="Arial"/>
                <w:b/>
                <w:color w:val="000000" w:themeColor="text1"/>
                <w:sz w:val="24"/>
                <w:szCs w:val="24"/>
              </w:rPr>
            </w:pPr>
            <w:r w:rsidRPr="00B56FF5">
              <w:rPr>
                <w:rFonts w:ascii="Arial" w:hAnsi="Arial" w:cs="Arial"/>
                <w:b/>
                <w:color w:val="000000" w:themeColor="text1"/>
                <w:sz w:val="24"/>
                <w:szCs w:val="24"/>
              </w:rPr>
              <w:t>(brief)</w:t>
            </w:r>
          </w:p>
          <w:p w:rsidR="00B510B7" w:rsidRPr="00B56FF5" w:rsidRDefault="00B510B7" w:rsidP="00D367D0">
            <w:pPr>
              <w:rPr>
                <w:rFonts w:ascii="Arial" w:hAnsi="Arial" w:cs="Arial"/>
                <w:b/>
                <w:color w:val="000000" w:themeColor="text1"/>
                <w:sz w:val="24"/>
                <w:szCs w:val="24"/>
              </w:rPr>
            </w:pPr>
          </w:p>
        </w:tc>
        <w:tc>
          <w:tcPr>
            <w:tcW w:w="7482" w:type="dxa"/>
            <w:gridSpan w:val="10"/>
          </w:tcPr>
          <w:p w:rsidR="00BB3572" w:rsidRPr="00B56FF5" w:rsidRDefault="00606092" w:rsidP="00BB3572">
            <w:pPr>
              <w:rPr>
                <w:rFonts w:ascii="Arial" w:hAnsi="Arial" w:cs="Arial"/>
                <w:color w:val="000000" w:themeColor="text1"/>
                <w:sz w:val="24"/>
                <w:szCs w:val="24"/>
              </w:rPr>
            </w:pPr>
            <w:r>
              <w:rPr>
                <w:rFonts w:ascii="Arial" w:hAnsi="Arial" w:cs="Arial"/>
                <w:color w:val="000000" w:themeColor="text1"/>
                <w:sz w:val="24"/>
                <w:szCs w:val="24"/>
              </w:rPr>
              <w:t>Two</w:t>
            </w:r>
            <w:r w:rsidR="00BB3572" w:rsidRPr="00B56FF5">
              <w:rPr>
                <w:rFonts w:ascii="Arial" w:hAnsi="Arial" w:cs="Arial"/>
                <w:color w:val="000000" w:themeColor="text1"/>
                <w:sz w:val="24"/>
                <w:szCs w:val="24"/>
              </w:rPr>
              <w:t xml:space="preserve"> methods of summative assessments have been designed for this module: Presentation</w:t>
            </w:r>
            <w:r>
              <w:rPr>
                <w:rFonts w:ascii="Arial" w:hAnsi="Arial" w:cs="Arial"/>
                <w:color w:val="000000" w:themeColor="text1"/>
                <w:sz w:val="24"/>
                <w:szCs w:val="24"/>
              </w:rPr>
              <w:t>/</w:t>
            </w:r>
            <w:r w:rsidR="003843CE" w:rsidRPr="00B56FF5">
              <w:rPr>
                <w:rFonts w:ascii="Arial" w:hAnsi="Arial" w:cs="Arial"/>
                <w:color w:val="000000" w:themeColor="text1"/>
                <w:sz w:val="24"/>
                <w:szCs w:val="24"/>
              </w:rPr>
              <w:t xml:space="preserve">written </w:t>
            </w:r>
            <w:r w:rsidR="00BB3572" w:rsidRPr="00B56FF5">
              <w:rPr>
                <w:rFonts w:ascii="Arial" w:hAnsi="Arial" w:cs="Arial"/>
                <w:color w:val="000000" w:themeColor="text1"/>
                <w:sz w:val="24"/>
                <w:szCs w:val="24"/>
              </w:rPr>
              <w:t xml:space="preserve">assignment and written exam. </w:t>
            </w:r>
          </w:p>
          <w:p w:rsidR="00AE0449" w:rsidRPr="00B56FF5" w:rsidRDefault="00B56FF5" w:rsidP="00AE0449">
            <w:pPr>
              <w:rPr>
                <w:rFonts w:ascii="Arial" w:eastAsiaTheme="minorHAnsi" w:hAnsi="Arial" w:cs="Arial"/>
                <w:color w:val="000000" w:themeColor="text1"/>
                <w:sz w:val="24"/>
                <w:szCs w:val="24"/>
              </w:rPr>
            </w:pPr>
            <w:r>
              <w:rPr>
                <w:rFonts w:ascii="Arial" w:hAnsi="Arial" w:cs="Arial"/>
                <w:color w:val="000000" w:themeColor="text1"/>
                <w:sz w:val="24"/>
                <w:szCs w:val="24"/>
              </w:rPr>
              <w:t>Presentation</w:t>
            </w:r>
            <w:r w:rsidR="00606092">
              <w:rPr>
                <w:rFonts w:ascii="Arial" w:hAnsi="Arial" w:cs="Arial"/>
                <w:color w:val="000000" w:themeColor="text1"/>
                <w:sz w:val="24"/>
                <w:szCs w:val="24"/>
              </w:rPr>
              <w:t xml:space="preserve"> and written assignment</w:t>
            </w:r>
            <w:r>
              <w:rPr>
                <w:rFonts w:ascii="Arial" w:hAnsi="Arial" w:cs="Arial"/>
                <w:color w:val="000000" w:themeColor="text1"/>
                <w:sz w:val="24"/>
                <w:szCs w:val="24"/>
              </w:rPr>
              <w:t xml:space="preserve"> is on </w:t>
            </w:r>
            <w:r w:rsidR="003843CE" w:rsidRPr="00B56FF5">
              <w:rPr>
                <w:rFonts w:ascii="Arial" w:hAnsi="Arial" w:cs="Arial"/>
                <w:color w:val="000000" w:themeColor="text1"/>
                <w:sz w:val="24"/>
                <w:szCs w:val="24"/>
              </w:rPr>
              <w:t xml:space="preserve">comparison of other countries contract law and Islamic contract law, </w:t>
            </w:r>
            <w:proofErr w:type="spellStart"/>
            <w:r w:rsidR="003843CE" w:rsidRPr="00B56FF5">
              <w:rPr>
                <w:rFonts w:ascii="Arial" w:hAnsi="Arial" w:cs="Arial"/>
                <w:color w:val="000000" w:themeColor="text1"/>
                <w:sz w:val="24"/>
                <w:szCs w:val="24"/>
              </w:rPr>
              <w:t>Shari</w:t>
            </w:r>
            <w:r>
              <w:rPr>
                <w:rFonts w:ascii="Arial" w:hAnsi="Arial" w:cs="Arial"/>
                <w:color w:val="000000" w:themeColor="text1"/>
                <w:sz w:val="24"/>
                <w:szCs w:val="24"/>
              </w:rPr>
              <w:t>’</w:t>
            </w:r>
            <w:r w:rsidR="003843CE" w:rsidRPr="00B56FF5">
              <w:rPr>
                <w:rFonts w:ascii="Arial" w:hAnsi="Arial" w:cs="Arial"/>
                <w:color w:val="000000" w:themeColor="text1"/>
                <w:sz w:val="24"/>
                <w:szCs w:val="24"/>
              </w:rPr>
              <w:t>ah</w:t>
            </w:r>
            <w:proofErr w:type="spellEnd"/>
            <w:r w:rsidR="003843CE" w:rsidRPr="00B56FF5">
              <w:rPr>
                <w:rFonts w:ascii="Arial" w:hAnsi="Arial" w:cs="Arial"/>
                <w:color w:val="000000" w:themeColor="text1"/>
                <w:sz w:val="24"/>
                <w:szCs w:val="24"/>
              </w:rPr>
              <w:t xml:space="preserve"> law, </w:t>
            </w:r>
            <w:r w:rsidR="00785979">
              <w:rPr>
                <w:rFonts w:ascii="Arial" w:hAnsi="Arial" w:cs="Arial"/>
                <w:color w:val="000000" w:themeColor="text1"/>
                <w:sz w:val="24"/>
                <w:szCs w:val="24"/>
              </w:rPr>
              <w:t xml:space="preserve">and </w:t>
            </w:r>
            <w:r w:rsidR="003843CE" w:rsidRPr="00B56FF5">
              <w:rPr>
                <w:rFonts w:ascii="Arial" w:hAnsi="Arial" w:cs="Arial"/>
                <w:color w:val="000000" w:themeColor="text1"/>
                <w:sz w:val="24"/>
                <w:szCs w:val="24"/>
              </w:rPr>
              <w:t>legislations in other countries</w:t>
            </w:r>
            <w:r w:rsidR="00606092">
              <w:rPr>
                <w:rFonts w:ascii="Arial" w:hAnsi="Arial" w:cs="Arial"/>
                <w:color w:val="000000" w:themeColor="text1"/>
                <w:sz w:val="24"/>
                <w:szCs w:val="24"/>
              </w:rPr>
              <w:t xml:space="preserve">, and </w:t>
            </w:r>
            <w:r w:rsidR="001B17C2" w:rsidRPr="00B56FF5">
              <w:rPr>
                <w:rFonts w:ascii="Arial" w:hAnsi="Arial" w:cs="Arial"/>
                <w:color w:val="000000" w:themeColor="text1"/>
                <w:sz w:val="24"/>
                <w:szCs w:val="24"/>
              </w:rPr>
              <w:t xml:space="preserve">will enable you to demonstrate your knowledge of </w:t>
            </w:r>
            <w:r w:rsidR="003843CE" w:rsidRPr="00B56FF5">
              <w:rPr>
                <w:rFonts w:ascii="Arial" w:hAnsi="Arial" w:cs="Arial"/>
                <w:color w:val="000000" w:themeColor="text1"/>
                <w:sz w:val="24"/>
                <w:szCs w:val="24"/>
              </w:rPr>
              <w:t>regulations of Islamic Law and its character</w:t>
            </w:r>
            <w:r>
              <w:rPr>
                <w:rFonts w:ascii="Arial" w:hAnsi="Arial" w:cs="Arial"/>
                <w:color w:val="000000" w:themeColor="text1"/>
                <w:sz w:val="24"/>
                <w:szCs w:val="24"/>
              </w:rPr>
              <w:t>i</w:t>
            </w:r>
            <w:r w:rsidR="003843CE" w:rsidRPr="00B56FF5">
              <w:rPr>
                <w:rFonts w:ascii="Arial" w:hAnsi="Arial" w:cs="Arial"/>
                <w:color w:val="000000" w:themeColor="text1"/>
                <w:sz w:val="24"/>
                <w:szCs w:val="24"/>
              </w:rPr>
              <w:t xml:space="preserve">stics. The </w:t>
            </w:r>
            <w:r w:rsidR="001B17C2" w:rsidRPr="00B56FF5">
              <w:rPr>
                <w:rFonts w:ascii="Arial" w:hAnsi="Arial" w:cs="Arial"/>
                <w:color w:val="000000" w:themeColor="text1"/>
                <w:sz w:val="24"/>
                <w:szCs w:val="24"/>
              </w:rPr>
              <w:t>examination will enable you to demonstrate and review your knowledge and understanding</w:t>
            </w:r>
            <w:r w:rsidR="00AE0449" w:rsidRPr="00B56FF5">
              <w:rPr>
                <w:rFonts w:ascii="Arial" w:hAnsi="Arial" w:cs="Arial"/>
                <w:color w:val="000000" w:themeColor="text1"/>
                <w:sz w:val="24"/>
                <w:szCs w:val="24"/>
              </w:rPr>
              <w:t xml:space="preserve"> of the associated </w:t>
            </w:r>
            <w:r>
              <w:rPr>
                <w:rFonts w:ascii="Arial" w:hAnsi="Arial" w:cs="Arial"/>
                <w:color w:val="000000" w:themeColor="text1"/>
                <w:sz w:val="24"/>
                <w:szCs w:val="24"/>
              </w:rPr>
              <w:t xml:space="preserve">business law of </w:t>
            </w:r>
            <w:r w:rsidR="00AE0449" w:rsidRPr="00B56FF5">
              <w:rPr>
                <w:rFonts w:ascii="Arial" w:hAnsi="Arial" w:cs="Arial"/>
                <w:color w:val="000000" w:themeColor="text1"/>
                <w:sz w:val="24"/>
                <w:szCs w:val="24"/>
              </w:rPr>
              <w:lastRenderedPageBreak/>
              <w:t>Islamic banks and other Islamic financial institutions.</w:t>
            </w:r>
          </w:p>
          <w:p w:rsidR="0069621A" w:rsidRPr="00B56FF5" w:rsidRDefault="0069621A" w:rsidP="001B17C2">
            <w:pPr>
              <w:rPr>
                <w:rFonts w:ascii="Arial" w:hAnsi="Arial" w:cs="Arial"/>
                <w:color w:val="000000" w:themeColor="text1"/>
              </w:rPr>
            </w:pPr>
          </w:p>
        </w:tc>
      </w:tr>
      <w:tr w:rsidR="00B56FF5" w:rsidRPr="00B56FF5" w:rsidTr="00606092">
        <w:trPr>
          <w:trHeight w:val="44"/>
        </w:trPr>
        <w:tc>
          <w:tcPr>
            <w:tcW w:w="2204" w:type="dxa"/>
            <w:vMerge w:val="restart"/>
          </w:tcPr>
          <w:p w:rsidR="00B510B7" w:rsidRPr="00B56FF5" w:rsidRDefault="00B510B7" w:rsidP="00D367D0">
            <w:pPr>
              <w:rPr>
                <w:rFonts w:ascii="Arial" w:hAnsi="Arial" w:cs="Arial"/>
                <w:b/>
                <w:color w:val="000000" w:themeColor="text1"/>
                <w:sz w:val="24"/>
                <w:szCs w:val="24"/>
              </w:rPr>
            </w:pPr>
            <w:r w:rsidRPr="00B56FF5">
              <w:rPr>
                <w:rFonts w:ascii="Arial" w:hAnsi="Arial" w:cs="Arial"/>
                <w:b/>
                <w:color w:val="000000" w:themeColor="text1"/>
                <w:sz w:val="24"/>
                <w:szCs w:val="24"/>
              </w:rPr>
              <w:lastRenderedPageBreak/>
              <w:t>Summative assessment</w:t>
            </w:r>
          </w:p>
        </w:tc>
        <w:tc>
          <w:tcPr>
            <w:tcW w:w="629" w:type="dxa"/>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Item</w:t>
            </w:r>
          </w:p>
        </w:tc>
        <w:tc>
          <w:tcPr>
            <w:tcW w:w="781" w:type="dxa"/>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Final item?</w:t>
            </w:r>
          </w:p>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Y/N</w:t>
            </w:r>
          </w:p>
        </w:tc>
        <w:tc>
          <w:tcPr>
            <w:tcW w:w="1339" w:type="dxa"/>
            <w:gridSpan w:val="2"/>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Method</w:t>
            </w:r>
          </w:p>
        </w:tc>
        <w:tc>
          <w:tcPr>
            <w:tcW w:w="1283" w:type="dxa"/>
            <w:gridSpan w:val="2"/>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KIS category</w:t>
            </w:r>
          </w:p>
        </w:tc>
        <w:tc>
          <w:tcPr>
            <w:tcW w:w="1317" w:type="dxa"/>
            <w:gridSpan w:val="2"/>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Description</w:t>
            </w:r>
          </w:p>
        </w:tc>
        <w:tc>
          <w:tcPr>
            <w:tcW w:w="950" w:type="dxa"/>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LO</w:t>
            </w:r>
          </w:p>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number</w:t>
            </w:r>
          </w:p>
        </w:tc>
        <w:tc>
          <w:tcPr>
            <w:tcW w:w="1183" w:type="dxa"/>
          </w:tcPr>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Weighting</w:t>
            </w:r>
          </w:p>
          <w:p w:rsidR="00B510B7" w:rsidRPr="00B56FF5" w:rsidRDefault="00B510B7" w:rsidP="00D367D0">
            <w:pPr>
              <w:rPr>
                <w:rFonts w:ascii="Arial" w:hAnsi="Arial" w:cs="Arial"/>
                <w:b/>
                <w:color w:val="000000" w:themeColor="text1"/>
                <w:sz w:val="20"/>
                <w:szCs w:val="20"/>
              </w:rPr>
            </w:pPr>
            <w:r w:rsidRPr="00B56FF5">
              <w:rPr>
                <w:rFonts w:ascii="Arial" w:hAnsi="Arial" w:cs="Arial"/>
                <w:b/>
                <w:color w:val="000000" w:themeColor="text1"/>
                <w:sz w:val="20"/>
                <w:szCs w:val="20"/>
              </w:rPr>
              <w:t>%</w:t>
            </w:r>
          </w:p>
        </w:tc>
      </w:tr>
      <w:tr w:rsidR="00B56FF5" w:rsidRPr="00B56FF5" w:rsidTr="00606092">
        <w:trPr>
          <w:trHeight w:val="36"/>
        </w:trPr>
        <w:tc>
          <w:tcPr>
            <w:tcW w:w="2204" w:type="dxa"/>
            <w:vMerge/>
          </w:tcPr>
          <w:p w:rsidR="00B510B7" w:rsidRPr="00B56FF5" w:rsidRDefault="00B510B7" w:rsidP="00D367D0">
            <w:pPr>
              <w:rPr>
                <w:rFonts w:ascii="Arial" w:hAnsi="Arial" w:cs="Arial"/>
                <w:b/>
                <w:color w:val="000000" w:themeColor="text1"/>
                <w:sz w:val="24"/>
                <w:szCs w:val="24"/>
              </w:rPr>
            </w:pPr>
          </w:p>
        </w:tc>
        <w:tc>
          <w:tcPr>
            <w:tcW w:w="629" w:type="dxa"/>
          </w:tcPr>
          <w:p w:rsidR="00B510B7" w:rsidRPr="00B56FF5" w:rsidRDefault="00B510B7" w:rsidP="00D367D0">
            <w:pPr>
              <w:rPr>
                <w:rFonts w:ascii="Arial" w:hAnsi="Arial" w:cs="Arial"/>
                <w:color w:val="000000" w:themeColor="text1"/>
                <w:sz w:val="20"/>
                <w:szCs w:val="20"/>
              </w:rPr>
            </w:pPr>
          </w:p>
        </w:tc>
        <w:tc>
          <w:tcPr>
            <w:tcW w:w="781" w:type="dxa"/>
          </w:tcPr>
          <w:p w:rsidR="00B510B7" w:rsidRPr="00B56FF5" w:rsidRDefault="00AE0449" w:rsidP="00D367D0">
            <w:pPr>
              <w:rPr>
                <w:rFonts w:ascii="Arial" w:hAnsi="Arial" w:cs="Arial"/>
                <w:color w:val="000000" w:themeColor="text1"/>
                <w:sz w:val="20"/>
                <w:szCs w:val="20"/>
              </w:rPr>
            </w:pPr>
            <w:r w:rsidRPr="00B56FF5">
              <w:rPr>
                <w:rFonts w:ascii="Arial" w:hAnsi="Arial" w:cs="Arial"/>
                <w:color w:val="000000" w:themeColor="text1"/>
                <w:sz w:val="20"/>
                <w:szCs w:val="20"/>
              </w:rPr>
              <w:t>N</w:t>
            </w:r>
          </w:p>
        </w:tc>
        <w:tc>
          <w:tcPr>
            <w:tcW w:w="1339" w:type="dxa"/>
            <w:gridSpan w:val="2"/>
          </w:tcPr>
          <w:p w:rsidR="00B510B7" w:rsidRPr="00B56FF5" w:rsidRDefault="00AE0449" w:rsidP="00D367D0">
            <w:pPr>
              <w:rPr>
                <w:rFonts w:ascii="Arial" w:hAnsi="Arial" w:cs="Arial"/>
                <w:color w:val="000000" w:themeColor="text1"/>
                <w:sz w:val="20"/>
                <w:szCs w:val="20"/>
              </w:rPr>
            </w:pPr>
            <w:r w:rsidRPr="00B56FF5">
              <w:rPr>
                <w:rFonts w:ascii="Arial" w:hAnsi="Arial" w:cs="Arial"/>
                <w:color w:val="000000" w:themeColor="text1"/>
                <w:sz w:val="20"/>
                <w:szCs w:val="20"/>
              </w:rPr>
              <w:t>Presentation</w:t>
            </w:r>
            <w:r w:rsidR="00606092">
              <w:rPr>
                <w:rFonts w:ascii="Arial" w:hAnsi="Arial" w:cs="Arial"/>
                <w:color w:val="000000" w:themeColor="text1"/>
                <w:sz w:val="20"/>
                <w:szCs w:val="20"/>
              </w:rPr>
              <w:t xml:space="preserve"> and written assignment</w:t>
            </w:r>
            <w:r w:rsidRPr="00B56FF5">
              <w:rPr>
                <w:rFonts w:ascii="Arial" w:hAnsi="Arial" w:cs="Arial"/>
                <w:color w:val="000000" w:themeColor="text1"/>
                <w:sz w:val="20"/>
                <w:szCs w:val="20"/>
              </w:rPr>
              <w:t xml:space="preserve"> </w:t>
            </w:r>
          </w:p>
        </w:tc>
        <w:tc>
          <w:tcPr>
            <w:tcW w:w="1283" w:type="dxa"/>
            <w:gridSpan w:val="2"/>
          </w:tcPr>
          <w:p w:rsidR="00B510B7" w:rsidRPr="00B56FF5" w:rsidRDefault="00AE0449" w:rsidP="00D367D0">
            <w:pPr>
              <w:rPr>
                <w:rFonts w:ascii="Arial" w:hAnsi="Arial" w:cs="Arial"/>
                <w:color w:val="000000" w:themeColor="text1"/>
                <w:sz w:val="20"/>
                <w:szCs w:val="20"/>
              </w:rPr>
            </w:pPr>
            <w:r w:rsidRPr="00B56FF5">
              <w:rPr>
                <w:rFonts w:ascii="Arial" w:hAnsi="Arial" w:cs="Arial"/>
                <w:color w:val="000000" w:themeColor="text1"/>
                <w:sz w:val="20"/>
                <w:szCs w:val="20"/>
              </w:rPr>
              <w:t xml:space="preserve">Practical </w:t>
            </w:r>
          </w:p>
        </w:tc>
        <w:tc>
          <w:tcPr>
            <w:tcW w:w="1317" w:type="dxa"/>
            <w:gridSpan w:val="2"/>
          </w:tcPr>
          <w:p w:rsidR="00B510B7" w:rsidRPr="00B56FF5" w:rsidRDefault="00B510B7" w:rsidP="00D367D0">
            <w:pPr>
              <w:rPr>
                <w:rFonts w:ascii="Arial" w:hAnsi="Arial" w:cs="Arial"/>
                <w:color w:val="000000" w:themeColor="text1"/>
                <w:sz w:val="20"/>
                <w:szCs w:val="20"/>
              </w:rPr>
            </w:pPr>
          </w:p>
        </w:tc>
        <w:tc>
          <w:tcPr>
            <w:tcW w:w="950" w:type="dxa"/>
          </w:tcPr>
          <w:p w:rsidR="00B510B7" w:rsidRPr="00B56FF5" w:rsidRDefault="00AE0449" w:rsidP="00D367D0">
            <w:pPr>
              <w:rPr>
                <w:rFonts w:ascii="Arial" w:hAnsi="Arial" w:cs="Arial"/>
                <w:color w:val="000000" w:themeColor="text1"/>
                <w:sz w:val="20"/>
                <w:szCs w:val="20"/>
              </w:rPr>
            </w:pPr>
            <w:r w:rsidRPr="00B56FF5">
              <w:rPr>
                <w:rFonts w:ascii="Arial" w:hAnsi="Arial" w:cs="Arial"/>
                <w:color w:val="000000" w:themeColor="text1"/>
                <w:sz w:val="20"/>
                <w:szCs w:val="20"/>
              </w:rPr>
              <w:t>1</w:t>
            </w:r>
          </w:p>
        </w:tc>
        <w:tc>
          <w:tcPr>
            <w:tcW w:w="1183" w:type="dxa"/>
          </w:tcPr>
          <w:p w:rsidR="00B510B7" w:rsidRPr="00B56FF5" w:rsidRDefault="00606092" w:rsidP="00D367D0">
            <w:pPr>
              <w:rPr>
                <w:rFonts w:ascii="Arial" w:hAnsi="Arial" w:cs="Arial"/>
                <w:color w:val="000000" w:themeColor="text1"/>
                <w:sz w:val="20"/>
                <w:szCs w:val="20"/>
              </w:rPr>
            </w:pPr>
            <w:r>
              <w:rPr>
                <w:rFonts w:ascii="Arial" w:hAnsi="Arial" w:cs="Arial"/>
                <w:color w:val="000000" w:themeColor="text1"/>
                <w:sz w:val="20"/>
                <w:szCs w:val="20"/>
              </w:rPr>
              <w:t>50</w:t>
            </w:r>
          </w:p>
        </w:tc>
      </w:tr>
      <w:tr w:rsidR="00606092" w:rsidRPr="00B56FF5" w:rsidTr="00606092">
        <w:trPr>
          <w:trHeight w:val="36"/>
        </w:trPr>
        <w:tc>
          <w:tcPr>
            <w:tcW w:w="2204" w:type="dxa"/>
            <w:vMerge/>
          </w:tcPr>
          <w:p w:rsidR="00606092" w:rsidRPr="00B56FF5" w:rsidRDefault="00606092" w:rsidP="00D367D0">
            <w:pPr>
              <w:rPr>
                <w:rFonts w:ascii="Arial" w:hAnsi="Arial" w:cs="Arial"/>
                <w:b/>
                <w:color w:val="000000" w:themeColor="text1"/>
                <w:sz w:val="24"/>
                <w:szCs w:val="24"/>
              </w:rPr>
            </w:pPr>
          </w:p>
        </w:tc>
        <w:tc>
          <w:tcPr>
            <w:tcW w:w="629" w:type="dxa"/>
          </w:tcPr>
          <w:p w:rsidR="00606092" w:rsidRPr="00B56FF5" w:rsidRDefault="00606092" w:rsidP="00D367D0">
            <w:pPr>
              <w:rPr>
                <w:rFonts w:ascii="Arial" w:hAnsi="Arial" w:cs="Arial"/>
                <w:color w:val="000000" w:themeColor="text1"/>
                <w:sz w:val="20"/>
                <w:szCs w:val="20"/>
              </w:rPr>
            </w:pPr>
          </w:p>
        </w:tc>
        <w:tc>
          <w:tcPr>
            <w:tcW w:w="781" w:type="dxa"/>
          </w:tcPr>
          <w:p w:rsidR="00606092" w:rsidRPr="00B56FF5" w:rsidRDefault="00606092" w:rsidP="00D367D0">
            <w:pPr>
              <w:rPr>
                <w:rFonts w:ascii="Arial" w:hAnsi="Arial" w:cs="Arial"/>
                <w:color w:val="000000" w:themeColor="text1"/>
                <w:sz w:val="20"/>
                <w:szCs w:val="20"/>
              </w:rPr>
            </w:pPr>
            <w:r w:rsidRPr="00B56FF5">
              <w:rPr>
                <w:rFonts w:ascii="Arial" w:hAnsi="Arial" w:cs="Arial"/>
                <w:color w:val="000000" w:themeColor="text1"/>
                <w:sz w:val="20"/>
                <w:szCs w:val="20"/>
              </w:rPr>
              <w:t>Y</w:t>
            </w:r>
          </w:p>
        </w:tc>
        <w:tc>
          <w:tcPr>
            <w:tcW w:w="1339" w:type="dxa"/>
            <w:gridSpan w:val="2"/>
          </w:tcPr>
          <w:p w:rsidR="00606092" w:rsidRPr="00B56FF5" w:rsidRDefault="00606092" w:rsidP="00D367D0">
            <w:pPr>
              <w:rPr>
                <w:rFonts w:ascii="Arial" w:hAnsi="Arial" w:cs="Arial"/>
                <w:color w:val="000000" w:themeColor="text1"/>
                <w:sz w:val="20"/>
                <w:szCs w:val="20"/>
              </w:rPr>
            </w:pPr>
            <w:r w:rsidRPr="00B56FF5">
              <w:rPr>
                <w:rFonts w:ascii="Arial" w:hAnsi="Arial" w:cs="Arial"/>
                <w:color w:val="000000" w:themeColor="text1"/>
                <w:sz w:val="20"/>
                <w:szCs w:val="20"/>
              </w:rPr>
              <w:t xml:space="preserve">Exam </w:t>
            </w:r>
          </w:p>
        </w:tc>
        <w:tc>
          <w:tcPr>
            <w:tcW w:w="1283" w:type="dxa"/>
            <w:gridSpan w:val="2"/>
          </w:tcPr>
          <w:p w:rsidR="00606092" w:rsidRPr="00B56FF5" w:rsidRDefault="00606092" w:rsidP="00D367D0">
            <w:pPr>
              <w:rPr>
                <w:rFonts w:ascii="Arial" w:hAnsi="Arial" w:cs="Arial"/>
                <w:color w:val="000000" w:themeColor="text1"/>
                <w:sz w:val="20"/>
                <w:szCs w:val="20"/>
              </w:rPr>
            </w:pPr>
            <w:r w:rsidRPr="00B56FF5">
              <w:rPr>
                <w:rFonts w:ascii="Arial" w:hAnsi="Arial" w:cs="Arial"/>
                <w:color w:val="000000" w:themeColor="text1"/>
                <w:sz w:val="20"/>
                <w:szCs w:val="20"/>
              </w:rPr>
              <w:t xml:space="preserve">Written exam </w:t>
            </w:r>
          </w:p>
        </w:tc>
        <w:tc>
          <w:tcPr>
            <w:tcW w:w="1317" w:type="dxa"/>
            <w:gridSpan w:val="2"/>
          </w:tcPr>
          <w:p w:rsidR="00606092" w:rsidRPr="00B56FF5" w:rsidRDefault="00606092" w:rsidP="00D367D0">
            <w:pPr>
              <w:rPr>
                <w:rFonts w:ascii="Arial" w:hAnsi="Arial" w:cs="Arial"/>
                <w:color w:val="000000" w:themeColor="text1"/>
                <w:sz w:val="20"/>
                <w:szCs w:val="20"/>
              </w:rPr>
            </w:pPr>
          </w:p>
        </w:tc>
        <w:tc>
          <w:tcPr>
            <w:tcW w:w="950" w:type="dxa"/>
          </w:tcPr>
          <w:p w:rsidR="00606092" w:rsidRPr="00B56FF5" w:rsidRDefault="00606092" w:rsidP="00D367D0">
            <w:pPr>
              <w:rPr>
                <w:rFonts w:ascii="Arial" w:hAnsi="Arial" w:cs="Arial"/>
                <w:color w:val="000000" w:themeColor="text1"/>
                <w:sz w:val="20"/>
                <w:szCs w:val="20"/>
              </w:rPr>
            </w:pPr>
            <w:r w:rsidRPr="00B56FF5">
              <w:rPr>
                <w:rFonts w:ascii="Arial" w:hAnsi="Arial" w:cs="Arial"/>
                <w:color w:val="000000" w:themeColor="text1"/>
                <w:sz w:val="20"/>
                <w:szCs w:val="20"/>
              </w:rPr>
              <w:t>3</w:t>
            </w:r>
          </w:p>
        </w:tc>
        <w:tc>
          <w:tcPr>
            <w:tcW w:w="1183" w:type="dxa"/>
          </w:tcPr>
          <w:p w:rsidR="00606092" w:rsidRPr="00B56FF5" w:rsidRDefault="00606092" w:rsidP="00D367D0">
            <w:pPr>
              <w:jc w:val="both"/>
              <w:rPr>
                <w:rFonts w:ascii="Arial" w:hAnsi="Arial" w:cs="Arial"/>
                <w:color w:val="000000" w:themeColor="text1"/>
                <w:sz w:val="20"/>
                <w:szCs w:val="20"/>
              </w:rPr>
            </w:pPr>
            <w:r w:rsidRPr="00B56FF5">
              <w:rPr>
                <w:rFonts w:ascii="Arial" w:hAnsi="Arial" w:cs="Arial"/>
                <w:color w:val="000000" w:themeColor="text1"/>
                <w:sz w:val="20"/>
                <w:szCs w:val="20"/>
              </w:rPr>
              <w:t>50</w:t>
            </w:r>
          </w:p>
        </w:tc>
      </w:tr>
      <w:tr w:rsidR="00606092" w:rsidRPr="00B56FF5" w:rsidTr="00606092">
        <w:trPr>
          <w:trHeight w:val="36"/>
        </w:trPr>
        <w:tc>
          <w:tcPr>
            <w:tcW w:w="2204" w:type="dxa"/>
            <w:vMerge/>
          </w:tcPr>
          <w:p w:rsidR="00606092" w:rsidRPr="00B56FF5" w:rsidRDefault="00606092" w:rsidP="00D367D0">
            <w:pPr>
              <w:rPr>
                <w:rFonts w:ascii="Arial" w:hAnsi="Arial" w:cs="Arial"/>
                <w:b/>
                <w:color w:val="000000" w:themeColor="text1"/>
                <w:sz w:val="24"/>
                <w:szCs w:val="24"/>
              </w:rPr>
            </w:pPr>
          </w:p>
        </w:tc>
        <w:tc>
          <w:tcPr>
            <w:tcW w:w="629" w:type="dxa"/>
          </w:tcPr>
          <w:p w:rsidR="00606092" w:rsidRPr="00B56FF5" w:rsidRDefault="00606092" w:rsidP="00D367D0">
            <w:pPr>
              <w:rPr>
                <w:rFonts w:ascii="Arial" w:hAnsi="Arial" w:cs="Arial"/>
                <w:color w:val="000000" w:themeColor="text1"/>
              </w:rPr>
            </w:pPr>
          </w:p>
        </w:tc>
        <w:tc>
          <w:tcPr>
            <w:tcW w:w="781" w:type="dxa"/>
          </w:tcPr>
          <w:p w:rsidR="00606092" w:rsidRPr="00B56FF5" w:rsidRDefault="00606092" w:rsidP="00D367D0">
            <w:pPr>
              <w:rPr>
                <w:rFonts w:ascii="Arial" w:hAnsi="Arial" w:cs="Arial"/>
                <w:color w:val="000000" w:themeColor="text1"/>
              </w:rPr>
            </w:pPr>
            <w:r w:rsidRPr="00B56FF5">
              <w:rPr>
                <w:rFonts w:ascii="Arial" w:hAnsi="Arial" w:cs="Arial"/>
                <w:color w:val="000000" w:themeColor="text1"/>
              </w:rPr>
              <w:t>%</w:t>
            </w:r>
          </w:p>
        </w:tc>
        <w:tc>
          <w:tcPr>
            <w:tcW w:w="1339" w:type="dxa"/>
            <w:gridSpan w:val="2"/>
          </w:tcPr>
          <w:p w:rsidR="00606092" w:rsidRPr="00B56FF5" w:rsidRDefault="00606092" w:rsidP="00D367D0">
            <w:pPr>
              <w:rPr>
                <w:rFonts w:ascii="Arial" w:hAnsi="Arial" w:cs="Arial"/>
                <w:color w:val="000000" w:themeColor="text1"/>
                <w:sz w:val="20"/>
                <w:szCs w:val="20"/>
              </w:rPr>
            </w:pPr>
          </w:p>
        </w:tc>
        <w:tc>
          <w:tcPr>
            <w:tcW w:w="1283" w:type="dxa"/>
            <w:gridSpan w:val="2"/>
          </w:tcPr>
          <w:p w:rsidR="00606092" w:rsidRPr="00B56FF5" w:rsidRDefault="00606092" w:rsidP="00D367D0">
            <w:pPr>
              <w:rPr>
                <w:rFonts w:ascii="Arial" w:hAnsi="Arial" w:cs="Arial"/>
                <w:color w:val="000000" w:themeColor="text1"/>
                <w:sz w:val="20"/>
                <w:szCs w:val="20"/>
              </w:rPr>
            </w:pPr>
          </w:p>
        </w:tc>
        <w:tc>
          <w:tcPr>
            <w:tcW w:w="1317" w:type="dxa"/>
            <w:gridSpan w:val="2"/>
          </w:tcPr>
          <w:p w:rsidR="00606092" w:rsidRPr="00B56FF5" w:rsidRDefault="00606092" w:rsidP="00D367D0">
            <w:pPr>
              <w:rPr>
                <w:rFonts w:ascii="Arial" w:hAnsi="Arial" w:cs="Arial"/>
                <w:color w:val="000000" w:themeColor="text1"/>
                <w:sz w:val="20"/>
                <w:szCs w:val="20"/>
              </w:rPr>
            </w:pPr>
          </w:p>
        </w:tc>
        <w:tc>
          <w:tcPr>
            <w:tcW w:w="950" w:type="dxa"/>
          </w:tcPr>
          <w:p w:rsidR="00606092" w:rsidRPr="00B56FF5" w:rsidRDefault="00606092" w:rsidP="00D367D0">
            <w:pPr>
              <w:rPr>
                <w:rFonts w:ascii="Arial" w:hAnsi="Arial" w:cs="Arial"/>
                <w:color w:val="000000" w:themeColor="text1"/>
                <w:sz w:val="20"/>
                <w:szCs w:val="20"/>
              </w:rPr>
            </w:pPr>
          </w:p>
        </w:tc>
        <w:tc>
          <w:tcPr>
            <w:tcW w:w="1183" w:type="dxa"/>
          </w:tcPr>
          <w:p w:rsidR="00606092" w:rsidRPr="00B56FF5" w:rsidRDefault="00606092" w:rsidP="00D367D0">
            <w:pPr>
              <w:jc w:val="both"/>
              <w:rPr>
                <w:rFonts w:ascii="Arial" w:hAnsi="Arial" w:cs="Arial"/>
                <w:color w:val="000000" w:themeColor="text1"/>
                <w:sz w:val="20"/>
                <w:szCs w:val="20"/>
              </w:rPr>
            </w:pPr>
          </w:p>
        </w:tc>
      </w:tr>
      <w:tr w:rsidR="00606092" w:rsidRPr="00B56FF5" w:rsidTr="00606092">
        <w:trPr>
          <w:trHeight w:val="46"/>
        </w:trPr>
        <w:tc>
          <w:tcPr>
            <w:tcW w:w="2204" w:type="dxa"/>
            <w:vMerge w:val="restart"/>
          </w:tcPr>
          <w:p w:rsidR="00606092" w:rsidRPr="00B56FF5" w:rsidRDefault="00606092" w:rsidP="00D367D0">
            <w:pPr>
              <w:rPr>
                <w:rFonts w:ascii="Arial" w:hAnsi="Arial" w:cs="Arial"/>
                <w:b/>
                <w:color w:val="000000" w:themeColor="text1"/>
                <w:sz w:val="24"/>
                <w:szCs w:val="24"/>
              </w:rPr>
            </w:pPr>
            <w:r w:rsidRPr="00B56FF5">
              <w:rPr>
                <w:rFonts w:ascii="Arial" w:hAnsi="Arial" w:cs="Arial"/>
                <w:b/>
                <w:color w:val="000000" w:themeColor="text1"/>
                <w:sz w:val="24"/>
                <w:szCs w:val="24"/>
              </w:rPr>
              <w:t>KIS Summary (assessment)</w:t>
            </w:r>
          </w:p>
        </w:tc>
        <w:tc>
          <w:tcPr>
            <w:tcW w:w="1934" w:type="dxa"/>
            <w:gridSpan w:val="3"/>
          </w:tcPr>
          <w:p w:rsidR="00606092" w:rsidRPr="00B56FF5" w:rsidRDefault="00606092" w:rsidP="00D367D0">
            <w:pPr>
              <w:rPr>
                <w:rFonts w:ascii="Arial" w:hAnsi="Arial" w:cs="Arial"/>
                <w:color w:val="000000" w:themeColor="text1"/>
              </w:rPr>
            </w:pPr>
            <w:r w:rsidRPr="00B56FF5">
              <w:rPr>
                <w:rFonts w:ascii="Arial" w:hAnsi="Arial" w:cs="Arial"/>
                <w:color w:val="000000" w:themeColor="text1"/>
              </w:rPr>
              <w:t>Written Exam</w:t>
            </w:r>
          </w:p>
        </w:tc>
        <w:tc>
          <w:tcPr>
            <w:tcW w:w="5548" w:type="dxa"/>
            <w:gridSpan w:val="7"/>
          </w:tcPr>
          <w:p w:rsidR="00606092" w:rsidRPr="00B56FF5" w:rsidRDefault="00606092" w:rsidP="00D367D0">
            <w:pPr>
              <w:rPr>
                <w:rFonts w:ascii="Arial" w:hAnsi="Arial" w:cs="Arial"/>
                <w:color w:val="000000" w:themeColor="text1"/>
              </w:rPr>
            </w:pPr>
            <w:r w:rsidRPr="00B56FF5">
              <w:rPr>
                <w:rFonts w:ascii="Arial" w:hAnsi="Arial" w:cs="Arial"/>
                <w:color w:val="000000" w:themeColor="text1"/>
              </w:rPr>
              <w:t xml:space="preserve">50 </w:t>
            </w:r>
          </w:p>
        </w:tc>
      </w:tr>
      <w:tr w:rsidR="00606092" w:rsidRPr="00B56FF5" w:rsidTr="00606092">
        <w:trPr>
          <w:trHeight w:val="46"/>
        </w:trPr>
        <w:tc>
          <w:tcPr>
            <w:tcW w:w="2204" w:type="dxa"/>
            <w:vMerge/>
          </w:tcPr>
          <w:p w:rsidR="00606092" w:rsidRPr="00B56FF5" w:rsidRDefault="00606092" w:rsidP="00D367D0">
            <w:pPr>
              <w:rPr>
                <w:rFonts w:ascii="Arial" w:hAnsi="Arial" w:cs="Arial"/>
                <w:b/>
                <w:color w:val="000000" w:themeColor="text1"/>
                <w:sz w:val="24"/>
                <w:szCs w:val="24"/>
              </w:rPr>
            </w:pPr>
          </w:p>
        </w:tc>
        <w:tc>
          <w:tcPr>
            <w:tcW w:w="1934" w:type="dxa"/>
            <w:gridSpan w:val="3"/>
          </w:tcPr>
          <w:p w:rsidR="00606092" w:rsidRPr="00B56FF5" w:rsidRDefault="00606092" w:rsidP="00D367D0">
            <w:pPr>
              <w:rPr>
                <w:rFonts w:ascii="Arial" w:hAnsi="Arial" w:cs="Arial"/>
                <w:color w:val="000000" w:themeColor="text1"/>
              </w:rPr>
            </w:pPr>
            <w:r>
              <w:rPr>
                <w:rFonts w:ascii="Arial" w:hAnsi="Arial" w:cs="Arial"/>
                <w:color w:val="000000" w:themeColor="text1"/>
              </w:rPr>
              <w:t>Practical</w:t>
            </w:r>
          </w:p>
        </w:tc>
        <w:tc>
          <w:tcPr>
            <w:tcW w:w="5548" w:type="dxa"/>
            <w:gridSpan w:val="7"/>
          </w:tcPr>
          <w:p w:rsidR="00606092" w:rsidRPr="00B56FF5" w:rsidRDefault="00606092" w:rsidP="00D367D0">
            <w:pPr>
              <w:rPr>
                <w:rFonts w:ascii="Arial" w:hAnsi="Arial" w:cs="Arial"/>
                <w:color w:val="000000" w:themeColor="text1"/>
              </w:rPr>
            </w:pPr>
            <w:r>
              <w:rPr>
                <w:rFonts w:ascii="Arial" w:hAnsi="Arial" w:cs="Arial"/>
                <w:color w:val="000000" w:themeColor="text1"/>
              </w:rPr>
              <w:t>50</w:t>
            </w:r>
          </w:p>
        </w:tc>
      </w:tr>
      <w:tr w:rsidR="00606092" w:rsidRPr="00B56FF5" w:rsidTr="00606092">
        <w:trPr>
          <w:trHeight w:val="427"/>
        </w:trPr>
        <w:tc>
          <w:tcPr>
            <w:tcW w:w="2204" w:type="dxa"/>
            <w:vMerge/>
          </w:tcPr>
          <w:p w:rsidR="00606092" w:rsidRPr="00B56FF5" w:rsidRDefault="00606092" w:rsidP="00D367D0">
            <w:pPr>
              <w:rPr>
                <w:rFonts w:ascii="Arial" w:hAnsi="Arial" w:cs="Arial"/>
                <w:b/>
                <w:color w:val="000000" w:themeColor="text1"/>
                <w:sz w:val="24"/>
                <w:szCs w:val="24"/>
              </w:rPr>
            </w:pPr>
          </w:p>
        </w:tc>
        <w:tc>
          <w:tcPr>
            <w:tcW w:w="1934" w:type="dxa"/>
            <w:gridSpan w:val="3"/>
          </w:tcPr>
          <w:p w:rsidR="00606092" w:rsidRPr="00B56FF5" w:rsidRDefault="00606092" w:rsidP="00D367D0">
            <w:pPr>
              <w:rPr>
                <w:rFonts w:ascii="Arial" w:hAnsi="Arial" w:cs="Arial"/>
                <w:color w:val="000000" w:themeColor="text1"/>
              </w:rPr>
            </w:pPr>
            <w:r>
              <w:rPr>
                <w:rFonts w:ascii="Arial" w:hAnsi="Arial" w:cs="Arial"/>
                <w:color w:val="000000" w:themeColor="text1"/>
              </w:rPr>
              <w:t>Coursework</w:t>
            </w:r>
          </w:p>
          <w:p w:rsidR="00606092" w:rsidRPr="00B56FF5" w:rsidRDefault="00606092" w:rsidP="00D367D0">
            <w:pPr>
              <w:rPr>
                <w:rFonts w:ascii="Arial" w:hAnsi="Arial" w:cs="Arial"/>
                <w:color w:val="000000" w:themeColor="text1"/>
              </w:rPr>
            </w:pPr>
          </w:p>
        </w:tc>
        <w:tc>
          <w:tcPr>
            <w:tcW w:w="5548" w:type="dxa"/>
            <w:gridSpan w:val="7"/>
          </w:tcPr>
          <w:p w:rsidR="00606092" w:rsidRPr="00B56FF5" w:rsidRDefault="00606092" w:rsidP="00606092">
            <w:pPr>
              <w:tabs>
                <w:tab w:val="left" w:pos="975"/>
              </w:tabs>
              <w:rPr>
                <w:rFonts w:ascii="Arial" w:hAnsi="Arial" w:cs="Arial"/>
                <w:color w:val="000000" w:themeColor="text1"/>
              </w:rPr>
            </w:pPr>
            <w:r>
              <w:rPr>
                <w:rFonts w:ascii="Arial" w:hAnsi="Arial" w:cs="Arial"/>
                <w:color w:val="000000" w:themeColor="text1"/>
              </w:rPr>
              <w:tab/>
            </w:r>
          </w:p>
        </w:tc>
      </w:tr>
      <w:tr w:rsidR="00606092" w:rsidRPr="00B56FF5" w:rsidTr="00606092">
        <w:trPr>
          <w:trHeight w:val="46"/>
        </w:trPr>
        <w:tc>
          <w:tcPr>
            <w:tcW w:w="2204" w:type="dxa"/>
            <w:vMerge/>
          </w:tcPr>
          <w:p w:rsidR="00606092" w:rsidRPr="00B56FF5" w:rsidRDefault="00606092" w:rsidP="00D367D0">
            <w:pPr>
              <w:rPr>
                <w:rFonts w:ascii="Arial" w:hAnsi="Arial" w:cs="Arial"/>
                <w:b/>
                <w:color w:val="000000" w:themeColor="text1"/>
                <w:sz w:val="24"/>
                <w:szCs w:val="24"/>
              </w:rPr>
            </w:pPr>
          </w:p>
        </w:tc>
        <w:tc>
          <w:tcPr>
            <w:tcW w:w="1934" w:type="dxa"/>
            <w:gridSpan w:val="3"/>
          </w:tcPr>
          <w:p w:rsidR="00606092" w:rsidRPr="00B56FF5" w:rsidRDefault="00606092" w:rsidP="001A03DD">
            <w:pPr>
              <w:rPr>
                <w:rFonts w:ascii="Arial" w:hAnsi="Arial" w:cs="Arial"/>
                <w:color w:val="000000" w:themeColor="text1"/>
              </w:rPr>
            </w:pPr>
            <w:r w:rsidRPr="00B56FF5">
              <w:rPr>
                <w:rFonts w:ascii="Arial" w:hAnsi="Arial" w:cs="Arial"/>
                <w:b/>
                <w:i/>
                <w:color w:val="000000" w:themeColor="text1"/>
              </w:rPr>
              <w:t>Formative:</w:t>
            </w:r>
            <w:r w:rsidRPr="00B56FF5">
              <w:rPr>
                <w:rFonts w:ascii="Arial" w:hAnsi="Arial" w:cs="Arial"/>
                <w:color w:val="000000" w:themeColor="text1"/>
              </w:rPr>
              <w:t xml:space="preserve">  At the end of the lecture where Formative Assessment is conducted, or a maximum of one week.</w:t>
            </w:r>
          </w:p>
          <w:p w:rsidR="00606092" w:rsidRPr="00B56FF5" w:rsidRDefault="00606092" w:rsidP="001A03DD">
            <w:pPr>
              <w:rPr>
                <w:rFonts w:ascii="Arial" w:hAnsi="Arial" w:cs="Arial"/>
                <w:color w:val="000000" w:themeColor="text1"/>
              </w:rPr>
            </w:pPr>
            <w:r w:rsidRPr="00B56FF5">
              <w:rPr>
                <w:rFonts w:ascii="Arial" w:hAnsi="Arial" w:cs="Arial"/>
                <w:b/>
                <w:i/>
                <w:color w:val="000000" w:themeColor="text1"/>
              </w:rPr>
              <w:t>Summative</w:t>
            </w:r>
            <w:r>
              <w:rPr>
                <w:rFonts w:ascii="Arial" w:hAnsi="Arial" w:cs="Arial"/>
                <w:color w:val="000000" w:themeColor="text1"/>
              </w:rPr>
              <w:t>:  Maximum of 3</w:t>
            </w:r>
            <w:r w:rsidRPr="00B56FF5">
              <w:rPr>
                <w:rFonts w:ascii="Arial" w:hAnsi="Arial" w:cs="Arial"/>
                <w:color w:val="000000" w:themeColor="text1"/>
              </w:rPr>
              <w:t xml:space="preserve"> weeks. </w:t>
            </w:r>
            <w:r>
              <w:rPr>
                <w:rFonts w:ascii="Arial" w:hAnsi="Arial" w:cs="Arial"/>
                <w:color w:val="000000" w:themeColor="text1"/>
              </w:rPr>
              <w:t xml:space="preserve"> </w:t>
            </w:r>
          </w:p>
        </w:tc>
        <w:tc>
          <w:tcPr>
            <w:tcW w:w="5548" w:type="dxa"/>
            <w:gridSpan w:val="7"/>
          </w:tcPr>
          <w:p w:rsidR="00606092" w:rsidRPr="00B56FF5" w:rsidRDefault="00606092" w:rsidP="00D367D0">
            <w:pPr>
              <w:rPr>
                <w:rFonts w:ascii="Arial" w:hAnsi="Arial" w:cs="Arial"/>
                <w:color w:val="000000" w:themeColor="text1"/>
              </w:rPr>
            </w:pPr>
          </w:p>
        </w:tc>
      </w:tr>
      <w:tr w:rsidR="00606092" w:rsidRPr="00B56FF5" w:rsidTr="00606092">
        <w:tc>
          <w:tcPr>
            <w:tcW w:w="2204" w:type="dxa"/>
          </w:tcPr>
          <w:p w:rsidR="00606092" w:rsidRPr="00B56FF5" w:rsidRDefault="00606092" w:rsidP="00D367D0">
            <w:pPr>
              <w:rPr>
                <w:rFonts w:ascii="Arial" w:hAnsi="Arial" w:cs="Arial"/>
                <w:b/>
                <w:color w:val="000000" w:themeColor="text1"/>
                <w:sz w:val="24"/>
                <w:szCs w:val="24"/>
              </w:rPr>
            </w:pPr>
            <w:r w:rsidRPr="00B56FF5">
              <w:rPr>
                <w:rFonts w:ascii="Arial" w:hAnsi="Arial" w:cs="Arial"/>
                <w:b/>
                <w:color w:val="000000" w:themeColor="text1"/>
                <w:sz w:val="24"/>
                <w:szCs w:val="24"/>
              </w:rPr>
              <w:t>Feedback on assessment</w:t>
            </w:r>
          </w:p>
          <w:p w:rsidR="00606092" w:rsidRPr="00B56FF5" w:rsidRDefault="00606092" w:rsidP="00D367D0">
            <w:pPr>
              <w:rPr>
                <w:rFonts w:ascii="Arial" w:hAnsi="Arial" w:cs="Arial"/>
                <w:b/>
                <w:color w:val="000000" w:themeColor="text1"/>
                <w:sz w:val="24"/>
                <w:szCs w:val="24"/>
              </w:rPr>
            </w:pPr>
          </w:p>
        </w:tc>
        <w:tc>
          <w:tcPr>
            <w:tcW w:w="7482" w:type="dxa"/>
            <w:gridSpan w:val="10"/>
          </w:tcPr>
          <w:p w:rsidR="00606092" w:rsidRPr="00B56FF5" w:rsidRDefault="00606092" w:rsidP="00D367D0">
            <w:pPr>
              <w:rPr>
                <w:rFonts w:ascii="Arial" w:hAnsi="Arial" w:cs="Arial"/>
                <w:color w:val="000000" w:themeColor="text1"/>
              </w:rPr>
            </w:pPr>
          </w:p>
        </w:tc>
      </w:tr>
      <w:tr w:rsidR="00606092" w:rsidRPr="00B56FF5" w:rsidTr="00606092">
        <w:tc>
          <w:tcPr>
            <w:tcW w:w="2204" w:type="dxa"/>
          </w:tcPr>
          <w:p w:rsidR="00606092" w:rsidRPr="00B56FF5" w:rsidRDefault="00606092"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pass mark</w:t>
            </w:r>
          </w:p>
          <w:p w:rsidR="00606092" w:rsidRPr="00B56FF5" w:rsidRDefault="00606092" w:rsidP="00D367D0">
            <w:pPr>
              <w:rPr>
                <w:rFonts w:ascii="Arial" w:hAnsi="Arial" w:cs="Arial"/>
                <w:b/>
                <w:color w:val="000000" w:themeColor="text1"/>
                <w:sz w:val="24"/>
                <w:szCs w:val="24"/>
              </w:rPr>
            </w:pPr>
          </w:p>
        </w:tc>
        <w:tc>
          <w:tcPr>
            <w:tcW w:w="7482" w:type="dxa"/>
            <w:gridSpan w:val="10"/>
          </w:tcPr>
          <w:p w:rsidR="00606092" w:rsidRPr="00B56FF5" w:rsidRDefault="00606092" w:rsidP="00606092">
            <w:pPr>
              <w:autoSpaceDE w:val="0"/>
              <w:autoSpaceDN w:val="0"/>
              <w:adjustRightInd w:val="0"/>
              <w:ind w:left="360"/>
              <w:rPr>
                <w:rFonts w:ascii="Arial Narrow" w:hAnsi="Arial Narrow" w:cs="Arial Narrow"/>
                <w:color w:val="000000" w:themeColor="text1"/>
                <w:sz w:val="20"/>
                <w:szCs w:val="20"/>
                <w:lang w:eastAsia="hr-BA"/>
              </w:rPr>
            </w:pPr>
            <w:r>
              <w:rPr>
                <w:rFonts w:ascii="Arial" w:hAnsi="Arial" w:cs="Arial"/>
                <w:i/>
                <w:sz w:val="20"/>
                <w:szCs w:val="20"/>
              </w:rPr>
              <w:t>50%</w:t>
            </w:r>
          </w:p>
        </w:tc>
      </w:tr>
      <w:tr w:rsidR="00606092" w:rsidRPr="00B56FF5" w:rsidTr="00606092">
        <w:tc>
          <w:tcPr>
            <w:tcW w:w="2204" w:type="dxa"/>
          </w:tcPr>
          <w:p w:rsidR="00606092" w:rsidRPr="00B56FF5" w:rsidRDefault="00606092" w:rsidP="00D367D0">
            <w:pPr>
              <w:rPr>
                <w:rFonts w:ascii="Arial" w:hAnsi="Arial" w:cs="Arial"/>
                <w:b/>
                <w:color w:val="000000" w:themeColor="text1"/>
                <w:sz w:val="24"/>
                <w:szCs w:val="24"/>
              </w:rPr>
            </w:pPr>
            <w:r w:rsidRPr="00B56FF5">
              <w:rPr>
                <w:rFonts w:ascii="Arial" w:hAnsi="Arial" w:cs="Arial"/>
                <w:b/>
                <w:color w:val="000000" w:themeColor="text1"/>
                <w:sz w:val="24"/>
                <w:szCs w:val="24"/>
              </w:rPr>
              <w:t>Indicative reading list and other learning resources</w:t>
            </w:r>
          </w:p>
          <w:p w:rsidR="00606092" w:rsidRPr="00B56FF5" w:rsidRDefault="00606092" w:rsidP="00D367D0">
            <w:pPr>
              <w:rPr>
                <w:rFonts w:ascii="Arial" w:hAnsi="Arial" w:cs="Arial"/>
                <w:b/>
                <w:color w:val="000000" w:themeColor="text1"/>
                <w:sz w:val="24"/>
                <w:szCs w:val="24"/>
              </w:rPr>
            </w:pPr>
          </w:p>
        </w:tc>
        <w:tc>
          <w:tcPr>
            <w:tcW w:w="7482" w:type="dxa"/>
            <w:gridSpan w:val="10"/>
          </w:tcPr>
          <w:p w:rsidR="00606092" w:rsidRPr="00785979" w:rsidRDefault="00606092" w:rsidP="00606092">
            <w:pPr>
              <w:pStyle w:val="ListParagraph"/>
              <w:numPr>
                <w:ilvl w:val="0"/>
                <w:numId w:val="16"/>
              </w:numPr>
              <w:autoSpaceDE w:val="0"/>
              <w:autoSpaceDN w:val="0"/>
              <w:adjustRightInd w:val="0"/>
              <w:contextualSpacing w:val="0"/>
              <w:rPr>
                <w:rFonts w:eastAsia="Times New Roman"/>
                <w:lang w:val="en-GB" w:eastAsia="en-US"/>
              </w:rPr>
            </w:pPr>
            <w:bookmarkStart w:id="0" w:name="_GoBack"/>
            <w:bookmarkEnd w:id="0"/>
            <w:proofErr w:type="spellStart"/>
            <w:r w:rsidRPr="00785979">
              <w:rPr>
                <w:lang w:val="en-GB"/>
              </w:rPr>
              <w:t>Saleem</w:t>
            </w:r>
            <w:proofErr w:type="gramStart"/>
            <w:r w:rsidRPr="00785979">
              <w:rPr>
                <w:lang w:val="en-GB"/>
              </w:rPr>
              <w:t>,.</w:t>
            </w:r>
            <w:proofErr w:type="gramEnd"/>
            <w:r w:rsidRPr="00785979">
              <w:rPr>
                <w:lang w:val="en-GB"/>
              </w:rPr>
              <w:t>M.Y</w:t>
            </w:r>
            <w:proofErr w:type="spellEnd"/>
            <w:r w:rsidRPr="00785979">
              <w:rPr>
                <w:lang w:val="en-GB"/>
              </w:rPr>
              <w:t xml:space="preserve">,(2013) </w:t>
            </w:r>
            <w:r w:rsidRPr="00785979">
              <w:rPr>
                <w:i/>
                <w:lang w:val="en-GB"/>
              </w:rPr>
              <w:t>Islamic Commercial Law</w:t>
            </w:r>
            <w:r w:rsidRPr="00785979">
              <w:rPr>
                <w:lang w:val="en-GB"/>
              </w:rPr>
              <w:t xml:space="preserve">, Wiley.  </w:t>
            </w:r>
          </w:p>
          <w:p w:rsidR="00606092" w:rsidRPr="00785979" w:rsidRDefault="00606092" w:rsidP="00606092">
            <w:pPr>
              <w:pStyle w:val="ListParagraph"/>
              <w:numPr>
                <w:ilvl w:val="0"/>
                <w:numId w:val="16"/>
              </w:numPr>
              <w:autoSpaceDE w:val="0"/>
              <w:autoSpaceDN w:val="0"/>
              <w:adjustRightInd w:val="0"/>
              <w:contextualSpacing w:val="0"/>
              <w:rPr>
                <w:lang w:val="en-GB"/>
              </w:rPr>
            </w:pPr>
            <w:proofErr w:type="spellStart"/>
            <w:r w:rsidRPr="00785979">
              <w:rPr>
                <w:lang w:val="en-GB"/>
              </w:rPr>
              <w:t>Mansuri</w:t>
            </w:r>
            <w:proofErr w:type="spellEnd"/>
            <w:r w:rsidRPr="00785979">
              <w:rPr>
                <w:lang w:val="en-GB"/>
              </w:rPr>
              <w:t xml:space="preserve">, t. (2010) Islamic Law of Contracts and Business Transactions, Adam </w:t>
            </w:r>
            <w:proofErr w:type="spellStart"/>
            <w:r w:rsidRPr="00785979">
              <w:rPr>
                <w:lang w:val="en-GB"/>
              </w:rPr>
              <w:t>Publishers&amp;Distributors</w:t>
            </w:r>
            <w:proofErr w:type="spellEnd"/>
            <w:r w:rsidRPr="00785979">
              <w:rPr>
                <w:lang w:val="en-GB"/>
              </w:rPr>
              <w:t xml:space="preserve">. </w:t>
            </w:r>
          </w:p>
          <w:p w:rsidR="00606092" w:rsidRPr="00785979" w:rsidRDefault="00606092" w:rsidP="00606092">
            <w:pPr>
              <w:pStyle w:val="ListParagraph"/>
              <w:numPr>
                <w:ilvl w:val="0"/>
                <w:numId w:val="16"/>
              </w:numPr>
              <w:autoSpaceDE w:val="0"/>
              <w:autoSpaceDN w:val="0"/>
              <w:adjustRightInd w:val="0"/>
              <w:contextualSpacing w:val="0"/>
              <w:rPr>
                <w:lang w:val="en-GB"/>
              </w:rPr>
            </w:pPr>
            <w:r w:rsidRPr="00785979">
              <w:rPr>
                <w:lang w:val="en-GB"/>
              </w:rPr>
              <w:t>El-</w:t>
            </w:r>
            <w:proofErr w:type="spellStart"/>
            <w:r w:rsidRPr="00785979">
              <w:rPr>
                <w:lang w:val="en-GB"/>
              </w:rPr>
              <w:t>Gamal</w:t>
            </w:r>
            <w:proofErr w:type="spellEnd"/>
            <w:r w:rsidRPr="00785979">
              <w:rPr>
                <w:lang w:val="en-GB"/>
              </w:rPr>
              <w:t>, M, (2006)</w:t>
            </w:r>
            <w:r w:rsidRPr="00785979">
              <w:rPr>
                <w:i/>
                <w:lang w:val="en-GB"/>
              </w:rPr>
              <w:t xml:space="preserve">, </w:t>
            </w:r>
            <w:r w:rsidRPr="00785979">
              <w:rPr>
                <w:lang w:val="en-GB"/>
              </w:rPr>
              <w:t>Islamic finance – Law, Economics and Practice, Cambridge University Press.</w:t>
            </w:r>
          </w:p>
          <w:p w:rsidR="00606092" w:rsidRPr="00785979" w:rsidRDefault="00606092" w:rsidP="00606092">
            <w:pPr>
              <w:pStyle w:val="ListParagraph"/>
              <w:numPr>
                <w:ilvl w:val="0"/>
                <w:numId w:val="16"/>
              </w:numPr>
              <w:jc w:val="both"/>
              <w:rPr>
                <w:lang w:val="en-GB"/>
              </w:rPr>
            </w:pPr>
            <w:proofErr w:type="spellStart"/>
            <w:r w:rsidRPr="00785979">
              <w:rPr>
                <w:lang w:val="en-GB"/>
              </w:rPr>
              <w:t>Ethica</w:t>
            </w:r>
            <w:proofErr w:type="spellEnd"/>
            <w:r w:rsidRPr="00785979">
              <w:rPr>
                <w:lang w:val="en-GB"/>
              </w:rPr>
              <w:t xml:space="preserve"> Institute of Islamic Finance, (2013)</w:t>
            </w:r>
            <w:proofErr w:type="gramStart"/>
            <w:r w:rsidRPr="00785979">
              <w:rPr>
                <w:lang w:val="en-GB"/>
              </w:rPr>
              <w:t xml:space="preserve">,  </w:t>
            </w:r>
            <w:proofErr w:type="spellStart"/>
            <w:r w:rsidRPr="00785979">
              <w:rPr>
                <w:lang w:val="en-GB"/>
              </w:rPr>
              <w:t>Ethica's</w:t>
            </w:r>
            <w:proofErr w:type="spellEnd"/>
            <w:proofErr w:type="gramEnd"/>
            <w:r w:rsidRPr="00785979">
              <w:rPr>
                <w:lang w:val="en-GB"/>
              </w:rPr>
              <w:t xml:space="preserve"> Handbook of Islamic Finance.</w:t>
            </w:r>
          </w:p>
          <w:p w:rsidR="00606092" w:rsidRPr="00B56FF5" w:rsidRDefault="00606092" w:rsidP="00606092">
            <w:pPr>
              <w:rPr>
                <w:rFonts w:ascii="Arial" w:hAnsi="Arial" w:cs="Arial"/>
                <w:color w:val="000000" w:themeColor="text1"/>
              </w:rPr>
            </w:pPr>
            <w:r w:rsidRPr="00785979">
              <w:rPr>
                <w:rFonts w:ascii="Arial" w:hAnsi="Arial" w:cs="Arial"/>
              </w:rPr>
              <w:t>USA International Business Publications</w:t>
            </w:r>
            <w:proofErr w:type="gramStart"/>
            <w:r w:rsidRPr="00785979">
              <w:rPr>
                <w:rFonts w:ascii="Arial" w:hAnsi="Arial" w:cs="Arial"/>
              </w:rPr>
              <w:t>,(</w:t>
            </w:r>
            <w:proofErr w:type="gramEnd"/>
            <w:r w:rsidRPr="00785979">
              <w:rPr>
                <w:rFonts w:ascii="Arial" w:hAnsi="Arial" w:cs="Arial"/>
              </w:rPr>
              <w:t xml:space="preserve">2006), </w:t>
            </w:r>
            <w:r w:rsidRPr="00785979">
              <w:rPr>
                <w:rFonts w:ascii="Arial" w:hAnsi="Arial" w:cs="Arial"/>
                <w:i/>
              </w:rPr>
              <w:t>Islamic Company Law Handbook: Investment &amp; Business Guide.</w:t>
            </w:r>
          </w:p>
        </w:tc>
      </w:tr>
      <w:tr w:rsidR="00606092" w:rsidRPr="00B56FF5" w:rsidTr="00606092">
        <w:tc>
          <w:tcPr>
            <w:tcW w:w="2204" w:type="dxa"/>
          </w:tcPr>
          <w:p w:rsidR="00606092" w:rsidRPr="00B56FF5" w:rsidRDefault="00606092" w:rsidP="00D367D0">
            <w:pPr>
              <w:rPr>
                <w:rFonts w:ascii="Arial" w:hAnsi="Arial" w:cs="Arial"/>
                <w:b/>
                <w:color w:val="000000" w:themeColor="text1"/>
                <w:sz w:val="24"/>
                <w:szCs w:val="24"/>
              </w:rPr>
            </w:pPr>
            <w:r w:rsidRPr="00B56FF5">
              <w:rPr>
                <w:rFonts w:ascii="Arial" w:hAnsi="Arial" w:cs="Arial"/>
                <w:b/>
                <w:color w:val="000000" w:themeColor="text1"/>
                <w:sz w:val="24"/>
                <w:szCs w:val="24"/>
              </w:rPr>
              <w:t>Module in use from</w:t>
            </w:r>
          </w:p>
        </w:tc>
        <w:tc>
          <w:tcPr>
            <w:tcW w:w="7482" w:type="dxa"/>
            <w:gridSpan w:val="10"/>
          </w:tcPr>
          <w:p w:rsidR="00606092" w:rsidRPr="00B56FF5" w:rsidRDefault="00606092" w:rsidP="003843CE">
            <w:pPr>
              <w:rPr>
                <w:rFonts w:ascii="Arial" w:hAnsi="Arial" w:cs="Arial"/>
                <w:color w:val="000000" w:themeColor="text1"/>
              </w:rPr>
            </w:pPr>
            <w:r>
              <w:rPr>
                <w:rFonts w:ascii="Arial" w:hAnsi="Arial" w:cs="Arial"/>
                <w:color w:val="000000" w:themeColor="text1"/>
              </w:rPr>
              <w:t>Sept 2013</w:t>
            </w:r>
          </w:p>
        </w:tc>
      </w:tr>
    </w:tbl>
    <w:p w:rsidR="00C23D2B" w:rsidRDefault="00C23D2B"/>
    <w:sectPr w:rsidR="00C23D2B" w:rsidSect="00C23D2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14" w:rsidRDefault="002B4014" w:rsidP="002271F8">
      <w:pPr>
        <w:spacing w:after="0" w:line="240" w:lineRule="auto"/>
      </w:pPr>
      <w:r>
        <w:separator/>
      </w:r>
    </w:p>
  </w:endnote>
  <w:endnote w:type="continuationSeparator" w:id="0">
    <w:p w:rsidR="002B4014" w:rsidRDefault="002B4014"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14" w:rsidRDefault="002B4014" w:rsidP="002271F8">
      <w:pPr>
        <w:spacing w:after="0" w:line="240" w:lineRule="auto"/>
      </w:pPr>
      <w:r>
        <w:separator/>
      </w:r>
    </w:p>
  </w:footnote>
  <w:footnote w:type="continuationSeparator" w:id="0">
    <w:p w:rsidR="002B4014" w:rsidRDefault="002B4014"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D1" w:rsidRPr="002271F8" w:rsidRDefault="000B5ED1">
    <w:pPr>
      <w:pStyle w:val="Header"/>
      <w:rPr>
        <w:rFonts w:ascii="Arial" w:hAnsi="Arial" w:cs="Arial"/>
        <w:b/>
        <w:sz w:val="24"/>
        <w:szCs w:val="24"/>
      </w:rPr>
    </w:pPr>
  </w:p>
  <w:p w:rsidR="000B5ED1" w:rsidRDefault="000B5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B0D"/>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04B3749E"/>
    <w:multiLevelType w:val="hybridMultilevel"/>
    <w:tmpl w:val="A9D6E532"/>
    <w:lvl w:ilvl="0" w:tplc="393068E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01C84"/>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AE827F0"/>
    <w:multiLevelType w:val="hybridMultilevel"/>
    <w:tmpl w:val="C2D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418B6"/>
    <w:multiLevelType w:val="hybridMultilevel"/>
    <w:tmpl w:val="BA92FFE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38735FA3"/>
    <w:multiLevelType w:val="hybridMultilevel"/>
    <w:tmpl w:val="54220584"/>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1">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C6161FC"/>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6EC96B50"/>
    <w:multiLevelType w:val="hybridMultilevel"/>
    <w:tmpl w:val="A1E2E230"/>
    <w:lvl w:ilvl="0" w:tplc="F67EF77A">
      <w:start w:val="1"/>
      <w:numFmt w:val="decimal"/>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73E57465"/>
    <w:multiLevelType w:val="hybridMultilevel"/>
    <w:tmpl w:val="A1E2E230"/>
    <w:lvl w:ilvl="0" w:tplc="F67EF77A">
      <w:start w:val="1"/>
      <w:numFmt w:val="decimal"/>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0"/>
  </w:num>
  <w:num w:numId="12">
    <w:abstractNumId w:val="3"/>
  </w:num>
  <w:num w:numId="13">
    <w:abstractNumId w:val="4"/>
  </w:num>
  <w:num w:numId="14">
    <w:abstractNumId w:val="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84DB6"/>
    <w:rsid w:val="000B07E8"/>
    <w:rsid w:val="000B5ED1"/>
    <w:rsid w:val="0015517F"/>
    <w:rsid w:val="001A03DD"/>
    <w:rsid w:val="001B17C2"/>
    <w:rsid w:val="00216BE6"/>
    <w:rsid w:val="002271F8"/>
    <w:rsid w:val="002B4014"/>
    <w:rsid w:val="00327940"/>
    <w:rsid w:val="003843CE"/>
    <w:rsid w:val="003F4C31"/>
    <w:rsid w:val="004163FE"/>
    <w:rsid w:val="00477D3F"/>
    <w:rsid w:val="00485E9D"/>
    <w:rsid w:val="004903A8"/>
    <w:rsid w:val="004927D7"/>
    <w:rsid w:val="0050484C"/>
    <w:rsid w:val="00606092"/>
    <w:rsid w:val="00624154"/>
    <w:rsid w:val="0065446E"/>
    <w:rsid w:val="0069621A"/>
    <w:rsid w:val="006C60CB"/>
    <w:rsid w:val="00727208"/>
    <w:rsid w:val="00785979"/>
    <w:rsid w:val="00824B8D"/>
    <w:rsid w:val="008468A4"/>
    <w:rsid w:val="0088280E"/>
    <w:rsid w:val="008D4D74"/>
    <w:rsid w:val="0090045D"/>
    <w:rsid w:val="00972E02"/>
    <w:rsid w:val="009F560D"/>
    <w:rsid w:val="009F7E2F"/>
    <w:rsid w:val="00A22EF1"/>
    <w:rsid w:val="00A27ACF"/>
    <w:rsid w:val="00AD262F"/>
    <w:rsid w:val="00AE0449"/>
    <w:rsid w:val="00AF693B"/>
    <w:rsid w:val="00B2556B"/>
    <w:rsid w:val="00B510B7"/>
    <w:rsid w:val="00B56FF5"/>
    <w:rsid w:val="00B771EF"/>
    <w:rsid w:val="00BB3572"/>
    <w:rsid w:val="00BC0249"/>
    <w:rsid w:val="00C02B1D"/>
    <w:rsid w:val="00C04EF4"/>
    <w:rsid w:val="00C23D2B"/>
    <w:rsid w:val="00C531FF"/>
    <w:rsid w:val="00CA68AC"/>
    <w:rsid w:val="00CD0528"/>
    <w:rsid w:val="00D13E5C"/>
    <w:rsid w:val="00D367D0"/>
    <w:rsid w:val="00D856AC"/>
    <w:rsid w:val="00E117F1"/>
    <w:rsid w:val="00E31D6F"/>
    <w:rsid w:val="00E66D8F"/>
    <w:rsid w:val="00E67744"/>
    <w:rsid w:val="00E952C5"/>
    <w:rsid w:val="00EA3DAB"/>
    <w:rsid w:val="00EA572B"/>
    <w:rsid w:val="00EB2B5D"/>
    <w:rsid w:val="00FC49E4"/>
    <w:rsid w:val="00FE3AC6"/>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ciebf</cp:lastModifiedBy>
  <cp:revision>7</cp:revision>
  <dcterms:created xsi:type="dcterms:W3CDTF">2015-07-31T13:53:00Z</dcterms:created>
  <dcterms:modified xsi:type="dcterms:W3CDTF">2015-10-14T07:55:00Z</dcterms:modified>
</cp:coreProperties>
</file>