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4"/>
        <w:gridCol w:w="669"/>
        <w:gridCol w:w="803"/>
        <w:gridCol w:w="643"/>
        <w:gridCol w:w="809"/>
        <w:gridCol w:w="146"/>
        <w:gridCol w:w="988"/>
        <w:gridCol w:w="1166"/>
        <w:gridCol w:w="261"/>
        <w:gridCol w:w="1023"/>
        <w:gridCol w:w="1280"/>
      </w:tblGrid>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code</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CIF7023</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title</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Comparative Accounting</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leader</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Dr. Meliha </w:t>
            </w:r>
            <w:proofErr w:type="spellStart"/>
            <w:r w:rsidRPr="006333FB">
              <w:rPr>
                <w:rFonts w:ascii="Arial" w:hAnsi="Arial" w:cs="Arial"/>
                <w:color w:val="000000"/>
              </w:rPr>
              <w:t>Bašić</w:t>
            </w:r>
            <w:proofErr w:type="spellEnd"/>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tutors</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Dr. Meliha </w:t>
            </w:r>
            <w:proofErr w:type="spellStart"/>
            <w:r w:rsidRPr="006333FB">
              <w:rPr>
                <w:rFonts w:ascii="Arial" w:hAnsi="Arial" w:cs="Arial"/>
                <w:color w:val="000000"/>
              </w:rPr>
              <w:t>Bašić</w:t>
            </w:r>
            <w:proofErr w:type="spellEnd"/>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level</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HE7   </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Credit value</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12   </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ECTS value</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6  </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type</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Standard</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Delivery Type</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This module requires you to attend particular classes or events at particular times and in particular locations</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Pre-requisite modules/learning</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N/A   </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Co-requisite modules</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N/A</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Barred combinations</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N/A</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duration</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1 semester</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outline</w:t>
            </w:r>
          </w:p>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(200 words max)</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jc w:val="both"/>
              <w:rPr>
                <w:rFonts w:ascii="Arial" w:hAnsi="Arial" w:cs="Arial"/>
                <w:bCs/>
              </w:rPr>
            </w:pPr>
            <w:r w:rsidRPr="006333FB">
              <w:rPr>
                <w:rFonts w:ascii="Arial" w:hAnsi="Arial" w:cs="Arial"/>
                <w:bCs/>
              </w:rPr>
              <w:t>This module will help you to acquire knowledge of important characteristics and specific features of conventional accounting of banks such as general accounting principles, IAS, and other statutory regulations that define it. You will learn the use of chart of accounts for banks and specific features of financial statements which can help you to understand the differences between Islamic and conventional accounting. It will also help you to learn the basic principles and different aspects of accounting in Islamic finance. The focus will be on accounting and international accounting standards in Islamic banks. You will gain knowledge and understanding of the modes of overcoming difficulties in recording financial reporting, control, and audit of operations under Islamic banking principles especially in business systems where regulations are adjusted exclusively to conventional accounting.  Finally, it will assist you to recognize the role of accounting is Islamic banks and realise the complexity of banking operations and creation of prerequisites for successful banking management in Islamic banking.</w:t>
            </w:r>
          </w:p>
          <w:p w:rsidR="00876F95" w:rsidRPr="006333FB" w:rsidRDefault="00876F95" w:rsidP="006333FB">
            <w:pPr>
              <w:spacing w:after="0" w:line="240" w:lineRule="auto"/>
              <w:rPr>
                <w:rFonts w:ascii="Arial" w:hAnsi="Arial" w:cs="Arial"/>
                <w:bCs/>
                <w:color w:val="FF0000"/>
              </w:rPr>
            </w:pPr>
          </w:p>
          <w:p w:rsidR="00876F95" w:rsidRPr="006333FB" w:rsidRDefault="00876F95" w:rsidP="006333FB">
            <w:pPr>
              <w:spacing w:after="0" w:line="240" w:lineRule="auto"/>
              <w:rPr>
                <w:rFonts w:ascii="Arial" w:hAnsi="Arial" w:cs="Arial"/>
                <w:i/>
                <w:lang w:val="en-US"/>
              </w:rPr>
            </w:pPr>
            <w:r w:rsidRPr="006333FB">
              <w:rPr>
                <w:rFonts w:ascii="Arial" w:hAnsi="Arial" w:cs="Arial"/>
              </w:rPr>
              <w:t>This module serves to develop employability skills with particular emphasis on the following: 1. Communication Skills (DTA) 2. Teamwork (D) 3. Organisation and Planning (D</w:t>
            </w:r>
            <w:proofErr w:type="gramStart"/>
            <w:r w:rsidRPr="006333FB">
              <w:rPr>
                <w:rFonts w:ascii="Arial" w:hAnsi="Arial" w:cs="Arial"/>
              </w:rPr>
              <w:t>,T,A</w:t>
            </w:r>
            <w:proofErr w:type="gramEnd"/>
            <w:r w:rsidRPr="006333FB">
              <w:rPr>
                <w:rFonts w:ascii="Arial" w:hAnsi="Arial" w:cs="Arial"/>
              </w:rPr>
              <w:t>) 4. Self Awareness (D) 5. Initiative (D,T,A)</w:t>
            </w:r>
          </w:p>
          <w:p w:rsidR="00876F95" w:rsidRPr="006333FB" w:rsidRDefault="00876F95" w:rsidP="006333FB">
            <w:pPr>
              <w:spacing w:after="0" w:line="240" w:lineRule="auto"/>
              <w:rPr>
                <w:rFonts w:ascii="Arial" w:hAnsi="Arial" w:cs="Arial"/>
                <w:color w:val="000000"/>
              </w:rPr>
            </w:pP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Indicative content</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lastRenderedPageBreak/>
              <w:t>Introduction to accounting of the Islamic financial institutions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The role of accounting in Islamic economy</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lastRenderedPageBreak/>
              <w:t>Similarities and differences of conventional and Islamic approach to accounting</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Legal regulations and standards for operation of banks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Chart of accounts of banks and accounting of banking activities and reserves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Formation and allocation of business results in banking</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The role and preparation of the financial reports of banks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Basic principles of Islamic approach to account</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Accounting of Islamic banks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International account standards of Islamic banks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Financial reporting, control and audit in Islamic banks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Specific features of recording of special services of Islamic banks,</w:t>
            </w:r>
          </w:p>
          <w:p w:rsidR="00876F95" w:rsidRPr="006333FB" w:rsidRDefault="00876F95" w:rsidP="006333FB">
            <w:pPr>
              <w:numPr>
                <w:ilvl w:val="0"/>
                <w:numId w:val="16"/>
              </w:numPr>
              <w:spacing w:after="0" w:line="240" w:lineRule="auto"/>
              <w:rPr>
                <w:rFonts w:ascii="Arial" w:hAnsi="Arial" w:cs="Arial"/>
                <w:color w:val="000000"/>
                <w:lang w:eastAsia="hr-BA"/>
              </w:rPr>
            </w:pPr>
            <w:r w:rsidRPr="006333FB">
              <w:rPr>
                <w:rFonts w:ascii="Arial" w:hAnsi="Arial" w:cs="Arial"/>
                <w:color w:val="000000"/>
                <w:lang w:eastAsia="hr-BA"/>
              </w:rPr>
              <w:t>Problems  and specific features in the application of IAS in the operation of Islamic banks</w:t>
            </w:r>
          </w:p>
          <w:p w:rsidR="00876F95" w:rsidRPr="006333FB" w:rsidRDefault="00876F95" w:rsidP="006333FB">
            <w:pPr>
              <w:pStyle w:val="ListParagraph"/>
              <w:numPr>
                <w:ilvl w:val="0"/>
                <w:numId w:val="16"/>
              </w:numPr>
              <w:spacing w:after="0" w:line="240" w:lineRule="auto"/>
              <w:rPr>
                <w:color w:val="000000"/>
              </w:rPr>
            </w:pPr>
            <w:r w:rsidRPr="006333FB">
              <w:rPr>
                <w:color w:val="000000"/>
                <w:lang w:val="en-GB"/>
              </w:rPr>
              <w:t xml:space="preserve">Audit of Islamic banks and the role of </w:t>
            </w:r>
            <w:proofErr w:type="spellStart"/>
            <w:r w:rsidRPr="006333FB">
              <w:rPr>
                <w:color w:val="000000"/>
                <w:lang w:val="en-GB"/>
              </w:rPr>
              <w:t>Shari'ah</w:t>
            </w:r>
            <w:proofErr w:type="spellEnd"/>
            <w:r w:rsidRPr="006333FB">
              <w:rPr>
                <w:color w:val="000000"/>
                <w:lang w:val="en-GB"/>
              </w:rPr>
              <w:t xml:space="preserve"> Board in establishing accounting policies in Islamic banks</w:t>
            </w:r>
          </w:p>
        </w:tc>
        <w:bookmarkStart w:id="0" w:name="_GoBack"/>
        <w:bookmarkEnd w:id="0"/>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lastRenderedPageBreak/>
              <w:t>Learning outcomes</w:t>
            </w:r>
          </w:p>
        </w:tc>
        <w:tc>
          <w:tcPr>
            <w:tcW w:w="7788" w:type="dxa"/>
            <w:gridSpan w:val="10"/>
          </w:tcPr>
          <w:p w:rsidR="00876F95" w:rsidRPr="009A5146" w:rsidRDefault="00876F95" w:rsidP="009A5146">
            <w:pPr>
              <w:pStyle w:val="ListParagraph"/>
              <w:spacing w:after="0" w:line="240" w:lineRule="auto"/>
              <w:ind w:left="360"/>
              <w:jc w:val="both"/>
              <w:rPr>
                <w:lang w:eastAsia="en-US"/>
              </w:rPr>
            </w:pPr>
          </w:p>
          <w:p w:rsidR="00666F95" w:rsidRPr="009A5146" w:rsidRDefault="00876F95" w:rsidP="009A5146">
            <w:pPr>
              <w:pStyle w:val="ListParagraph"/>
              <w:numPr>
                <w:ilvl w:val="0"/>
                <w:numId w:val="24"/>
              </w:numPr>
              <w:spacing w:after="0" w:line="240" w:lineRule="auto"/>
              <w:jc w:val="both"/>
              <w:rPr>
                <w:lang w:eastAsia="en-US"/>
              </w:rPr>
            </w:pPr>
            <w:r w:rsidRPr="009A5146">
              <w:rPr>
                <w:lang w:eastAsia="en-US"/>
              </w:rPr>
              <w:t>To demonstrate a mastery grasp of the role of accounting in Islamic economy</w:t>
            </w:r>
            <w:r w:rsidR="00666F95" w:rsidRPr="009A5146">
              <w:rPr>
                <w:lang w:eastAsia="en-US"/>
              </w:rPr>
              <w:t xml:space="preserve"> and differences of conventional and Islamic approach to accounting</w:t>
            </w:r>
          </w:p>
          <w:p w:rsidR="00876F95" w:rsidRPr="006333FB" w:rsidRDefault="00876F95" w:rsidP="00666F95">
            <w:pPr>
              <w:pStyle w:val="ListParagraph"/>
              <w:numPr>
                <w:ilvl w:val="0"/>
                <w:numId w:val="24"/>
              </w:numPr>
              <w:spacing w:after="0" w:line="240" w:lineRule="auto"/>
              <w:jc w:val="both"/>
            </w:pPr>
            <w:r w:rsidRPr="006333FB">
              <w:t xml:space="preserve">Gain in depth knowledge and understanding of </w:t>
            </w:r>
            <w:r w:rsidR="009A5146">
              <w:t>s</w:t>
            </w:r>
            <w:r w:rsidRPr="00D05E7E">
              <w:rPr>
                <w:lang w:eastAsia="en-US"/>
              </w:rPr>
              <w:t>imilarities and differences of conventional and Islamic approach to accounting</w:t>
            </w:r>
            <w:r w:rsidR="00666F95">
              <w:rPr>
                <w:lang w:eastAsia="en-US"/>
              </w:rPr>
              <w:t xml:space="preserve"> in ba</w:t>
            </w:r>
            <w:r w:rsidR="009A5146">
              <w:rPr>
                <w:lang w:eastAsia="en-US"/>
              </w:rPr>
              <w:t>nks and finanncial institutions</w:t>
            </w:r>
          </w:p>
          <w:p w:rsidR="00876F95" w:rsidRPr="006333FB" w:rsidRDefault="00876F95" w:rsidP="006333FB">
            <w:pPr>
              <w:pStyle w:val="ListParagraph"/>
              <w:numPr>
                <w:ilvl w:val="0"/>
                <w:numId w:val="24"/>
              </w:numPr>
              <w:spacing w:after="0" w:line="240" w:lineRule="auto"/>
              <w:rPr>
                <w:rFonts w:ascii="Arial Narrow" w:hAnsi="Arial Narrow"/>
                <w:sz w:val="20"/>
                <w:szCs w:val="20"/>
                <w:lang w:val="en-GB" w:eastAsia="en-US"/>
              </w:rPr>
            </w:pPr>
            <w:r w:rsidRPr="00D05E7E">
              <w:rPr>
                <w:lang w:eastAsia="en-US"/>
              </w:rPr>
              <w:t>Conduct critical analysis of a</w:t>
            </w:r>
            <w:proofErr w:type="spellStart"/>
            <w:r w:rsidRPr="006333FB">
              <w:rPr>
                <w:lang w:val="en-GB" w:eastAsia="en-US"/>
              </w:rPr>
              <w:t>ccounting</w:t>
            </w:r>
            <w:proofErr w:type="spellEnd"/>
            <w:r w:rsidRPr="006333FB">
              <w:rPr>
                <w:lang w:val="en-GB" w:eastAsia="en-US"/>
              </w:rPr>
              <w:t xml:space="preserve"> </w:t>
            </w:r>
            <w:r w:rsidR="0036028C">
              <w:rPr>
                <w:lang w:val="en-GB" w:eastAsia="en-US"/>
              </w:rPr>
              <w:t xml:space="preserve">and auditing </w:t>
            </w:r>
            <w:r w:rsidRPr="006333FB">
              <w:rPr>
                <w:lang w:val="en-GB" w:eastAsia="en-US"/>
              </w:rPr>
              <w:t>of Islamic banks</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Learning and teaching strategy</w:t>
            </w:r>
          </w:p>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(200 words max)</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9A5146">
            <w:pPr>
              <w:spacing w:after="0" w:line="240" w:lineRule="auto"/>
              <w:jc w:val="both"/>
              <w:rPr>
                <w:rFonts w:ascii="Arial" w:hAnsi="Arial" w:cs="Arial"/>
                <w:color w:val="000000"/>
              </w:rPr>
            </w:pPr>
            <w:r w:rsidRPr="006333FB">
              <w:rPr>
                <w:rFonts w:ascii="Arial" w:hAnsi="Arial" w:cs="Arial"/>
                <w:color w:val="000000"/>
              </w:rPr>
              <w:t>The activities you undertake during formal lectures will be directed towards evaluating your understanding of accounting that is applied in Islami</w:t>
            </w:r>
            <w:r w:rsidR="009A5146">
              <w:rPr>
                <w:rFonts w:ascii="Arial" w:hAnsi="Arial" w:cs="Arial"/>
                <w:color w:val="000000"/>
              </w:rPr>
              <w:t>c banking</w:t>
            </w:r>
            <w:r w:rsidRPr="006333FB">
              <w:rPr>
                <w:rFonts w:ascii="Arial" w:hAnsi="Arial" w:cs="Arial"/>
                <w:color w:val="000000"/>
              </w:rPr>
              <w:t>. This will be enabled by blended learning, utilising material available via the virtual Learning Environment, divided into groupings of material to enable you to prepare for the formal sessions. Additional resources such as links to relevant electronic publications and useful websites are also included. In addition, you are expected to undertake a great deal of guided independent study to ensure you are fully prepared for the formal sessions.</w:t>
            </w:r>
          </w:p>
        </w:tc>
      </w:tr>
      <w:tr w:rsidR="00876F95" w:rsidRPr="006333FB">
        <w:trPr>
          <w:trHeight w:val="477"/>
        </w:trPr>
        <w:tc>
          <w:tcPr>
            <w:tcW w:w="2204" w:type="dxa"/>
            <w:vMerge w:val="restart"/>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Learning and teaching methods</w:t>
            </w:r>
          </w:p>
          <w:p w:rsidR="00876F95" w:rsidRPr="006333FB" w:rsidRDefault="00876F95" w:rsidP="006333FB">
            <w:pPr>
              <w:spacing w:after="0" w:line="240" w:lineRule="auto"/>
              <w:rPr>
                <w:rFonts w:ascii="Arial" w:hAnsi="Arial" w:cs="Arial"/>
                <w:b/>
                <w:color w:val="000000"/>
                <w:sz w:val="24"/>
                <w:szCs w:val="24"/>
              </w:rPr>
            </w:pPr>
          </w:p>
          <w:p w:rsidR="00876F95" w:rsidRPr="006333FB" w:rsidRDefault="00876F95" w:rsidP="006333FB">
            <w:pPr>
              <w:spacing w:after="0" w:line="240" w:lineRule="auto"/>
              <w:rPr>
                <w:rFonts w:ascii="Arial" w:hAnsi="Arial" w:cs="Arial"/>
                <w:b/>
                <w:i/>
                <w:color w:val="000000"/>
                <w:sz w:val="24"/>
                <w:szCs w:val="24"/>
              </w:rPr>
            </w:pPr>
            <w:r w:rsidRPr="006333FB">
              <w:rPr>
                <w:rFonts w:ascii="Arial" w:hAnsi="Arial" w:cs="Arial"/>
                <w:b/>
                <w:i/>
                <w:color w:val="000000"/>
                <w:sz w:val="24"/>
                <w:szCs w:val="24"/>
              </w:rPr>
              <w:t>(any ‘scheduled’ categories, refers to class contact time – ensure this is realistic as audits for QAA will be tested)</w:t>
            </w:r>
          </w:p>
        </w:tc>
        <w:tc>
          <w:tcPr>
            <w:tcW w:w="3070" w:type="dxa"/>
            <w:gridSpan w:val="5"/>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Method</w:t>
            </w:r>
          </w:p>
        </w:tc>
        <w:tc>
          <w:tcPr>
            <w:tcW w:w="2154" w:type="dxa"/>
            <w:gridSpan w:val="2"/>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KIS category</w:t>
            </w:r>
          </w:p>
        </w:tc>
        <w:tc>
          <w:tcPr>
            <w:tcW w:w="2564" w:type="dxa"/>
            <w:gridSpan w:val="3"/>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Hours per module</w:t>
            </w: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Lectures </w:t>
            </w:r>
          </w:p>
        </w:tc>
        <w:tc>
          <w:tcPr>
            <w:tcW w:w="2154"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Scheduled</w:t>
            </w:r>
          </w:p>
        </w:tc>
        <w:tc>
          <w:tcPr>
            <w:tcW w:w="2564" w:type="dxa"/>
            <w:gridSpan w:val="3"/>
          </w:tcPr>
          <w:p w:rsidR="00876F95" w:rsidRPr="006333FB" w:rsidRDefault="00876F95" w:rsidP="006333FB">
            <w:pPr>
              <w:spacing w:after="0" w:line="240" w:lineRule="auto"/>
              <w:jc w:val="both"/>
              <w:rPr>
                <w:rFonts w:ascii="Arial" w:hAnsi="Arial" w:cs="Arial"/>
                <w:color w:val="000000"/>
              </w:rPr>
            </w:pPr>
            <w:r w:rsidRPr="006333FB">
              <w:rPr>
                <w:rFonts w:ascii="Arial" w:hAnsi="Arial" w:cs="Arial"/>
                <w:color w:val="000000"/>
              </w:rPr>
              <w:t>20</w:t>
            </w: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Seminars </w:t>
            </w:r>
          </w:p>
        </w:tc>
        <w:tc>
          <w:tcPr>
            <w:tcW w:w="2154"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Scheduled</w:t>
            </w:r>
          </w:p>
        </w:tc>
        <w:tc>
          <w:tcPr>
            <w:tcW w:w="2564" w:type="dxa"/>
            <w:gridSpan w:val="3"/>
          </w:tcPr>
          <w:p w:rsidR="00876F95" w:rsidRPr="006333FB" w:rsidRDefault="00876F95" w:rsidP="006333FB">
            <w:pPr>
              <w:spacing w:after="0" w:line="240" w:lineRule="auto"/>
              <w:jc w:val="both"/>
              <w:rPr>
                <w:rFonts w:ascii="Arial" w:hAnsi="Arial" w:cs="Arial"/>
                <w:color w:val="000000"/>
              </w:rPr>
            </w:pPr>
            <w:r w:rsidRPr="006333FB">
              <w:rPr>
                <w:rFonts w:ascii="Arial" w:hAnsi="Arial" w:cs="Arial"/>
                <w:color w:val="000000"/>
              </w:rPr>
              <w:t>10</w:t>
            </w: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Guided independent Learning</w:t>
            </w:r>
          </w:p>
        </w:tc>
        <w:tc>
          <w:tcPr>
            <w:tcW w:w="2154"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Independent </w:t>
            </w:r>
          </w:p>
        </w:tc>
        <w:tc>
          <w:tcPr>
            <w:tcW w:w="2564" w:type="dxa"/>
            <w:gridSpan w:val="3"/>
          </w:tcPr>
          <w:p w:rsidR="00876F95" w:rsidRPr="006333FB" w:rsidRDefault="00876F95" w:rsidP="006333FB">
            <w:pPr>
              <w:spacing w:after="0" w:line="240" w:lineRule="auto"/>
              <w:jc w:val="both"/>
              <w:rPr>
                <w:rFonts w:ascii="Arial" w:hAnsi="Arial" w:cs="Arial"/>
                <w:color w:val="000000"/>
              </w:rPr>
            </w:pPr>
            <w:r w:rsidRPr="006333FB">
              <w:rPr>
                <w:rFonts w:ascii="Arial" w:hAnsi="Arial" w:cs="Arial"/>
                <w:color w:val="000000"/>
              </w:rPr>
              <w:t xml:space="preserve">90 </w:t>
            </w: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3070" w:type="dxa"/>
            <w:gridSpan w:val="5"/>
          </w:tcPr>
          <w:p w:rsidR="00876F95" w:rsidRPr="006333FB" w:rsidRDefault="00876F95" w:rsidP="006333FB">
            <w:pPr>
              <w:spacing w:after="0" w:line="240" w:lineRule="auto"/>
              <w:rPr>
                <w:rFonts w:ascii="Arial" w:hAnsi="Arial" w:cs="Arial"/>
                <w:color w:val="000000"/>
              </w:rPr>
            </w:pPr>
          </w:p>
        </w:tc>
        <w:tc>
          <w:tcPr>
            <w:tcW w:w="2154" w:type="dxa"/>
            <w:gridSpan w:val="2"/>
          </w:tcPr>
          <w:p w:rsidR="00876F95" w:rsidRPr="006333FB" w:rsidRDefault="00876F95" w:rsidP="006333FB">
            <w:pPr>
              <w:spacing w:after="0" w:line="240" w:lineRule="auto"/>
              <w:rPr>
                <w:rFonts w:ascii="Arial" w:hAnsi="Arial" w:cs="Arial"/>
                <w:color w:val="000000"/>
              </w:rPr>
            </w:pPr>
          </w:p>
        </w:tc>
        <w:tc>
          <w:tcPr>
            <w:tcW w:w="2564" w:type="dxa"/>
            <w:gridSpan w:val="3"/>
          </w:tcPr>
          <w:p w:rsidR="00876F95" w:rsidRPr="006333FB" w:rsidRDefault="00876F95" w:rsidP="006333FB">
            <w:pPr>
              <w:spacing w:after="0" w:line="240" w:lineRule="auto"/>
              <w:jc w:val="both"/>
              <w:rPr>
                <w:rFonts w:ascii="Arial" w:hAnsi="Arial" w:cs="Arial"/>
                <w:color w:val="000000"/>
              </w:rPr>
            </w:pPr>
          </w:p>
        </w:tc>
      </w:tr>
      <w:tr w:rsidR="00876F95" w:rsidRPr="006333FB">
        <w:trPr>
          <w:trHeight w:val="122"/>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5224" w:type="dxa"/>
            <w:gridSpan w:val="7"/>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Total</w:t>
            </w:r>
          </w:p>
        </w:tc>
        <w:tc>
          <w:tcPr>
            <w:tcW w:w="2564" w:type="dxa"/>
            <w:gridSpan w:val="3"/>
          </w:tcPr>
          <w:p w:rsidR="00876F95" w:rsidRPr="006333FB" w:rsidRDefault="00876F95" w:rsidP="006333FB">
            <w:pPr>
              <w:spacing w:after="0" w:line="240" w:lineRule="auto"/>
              <w:jc w:val="both"/>
              <w:rPr>
                <w:rFonts w:ascii="Arial" w:hAnsi="Arial" w:cs="Arial"/>
                <w:color w:val="000000"/>
              </w:rPr>
            </w:pPr>
            <w:r w:rsidRPr="006333FB">
              <w:rPr>
                <w:rFonts w:ascii="Arial" w:hAnsi="Arial" w:cs="Arial"/>
                <w:color w:val="000000"/>
              </w:rPr>
              <w:t>120</w:t>
            </w:r>
          </w:p>
        </w:tc>
      </w:tr>
      <w:tr w:rsidR="00876F95" w:rsidRPr="006333FB">
        <w:trPr>
          <w:trHeight w:val="138"/>
        </w:trPr>
        <w:tc>
          <w:tcPr>
            <w:tcW w:w="2204" w:type="dxa"/>
            <w:vMerge w:val="restart"/>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KIS summary</w:t>
            </w:r>
          </w:p>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(learning and teaching)</w:t>
            </w:r>
          </w:p>
        </w:tc>
        <w:tc>
          <w:tcPr>
            <w:tcW w:w="2115" w:type="dxa"/>
            <w:gridSpan w:val="3"/>
          </w:tcPr>
          <w:p w:rsidR="00876F95" w:rsidRPr="006333FB" w:rsidRDefault="00876F95" w:rsidP="006333FB">
            <w:pPr>
              <w:spacing w:after="0" w:line="240" w:lineRule="auto"/>
              <w:rPr>
                <w:rFonts w:ascii="Arial" w:hAnsi="Arial" w:cs="Arial"/>
                <w:color w:val="000000"/>
              </w:rPr>
            </w:pPr>
          </w:p>
        </w:tc>
        <w:tc>
          <w:tcPr>
            <w:tcW w:w="5673" w:type="dxa"/>
            <w:gridSpan w:val="7"/>
          </w:tcPr>
          <w:p w:rsidR="00876F95" w:rsidRPr="006333FB" w:rsidRDefault="00876F95" w:rsidP="006333FB">
            <w:pPr>
              <w:spacing w:after="0" w:line="240" w:lineRule="auto"/>
              <w:jc w:val="center"/>
              <w:rPr>
                <w:rFonts w:ascii="Arial" w:hAnsi="Arial" w:cs="Arial"/>
                <w:color w:val="000000"/>
              </w:rPr>
            </w:pPr>
          </w:p>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w:t>
            </w:r>
          </w:p>
        </w:tc>
      </w:tr>
      <w:tr w:rsidR="00876F95" w:rsidRPr="006333FB">
        <w:trPr>
          <w:trHeight w:val="138"/>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2115" w:type="dxa"/>
            <w:gridSpan w:val="3"/>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Scheduled</w:t>
            </w:r>
          </w:p>
        </w:tc>
        <w:tc>
          <w:tcPr>
            <w:tcW w:w="5673" w:type="dxa"/>
            <w:gridSpan w:val="7"/>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25   </w:t>
            </w:r>
          </w:p>
        </w:tc>
      </w:tr>
      <w:tr w:rsidR="00876F95" w:rsidRPr="006333FB">
        <w:trPr>
          <w:trHeight w:val="138"/>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2115" w:type="dxa"/>
            <w:gridSpan w:val="3"/>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Independent</w:t>
            </w:r>
          </w:p>
        </w:tc>
        <w:tc>
          <w:tcPr>
            <w:tcW w:w="5673" w:type="dxa"/>
            <w:gridSpan w:val="7"/>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75</w:t>
            </w:r>
          </w:p>
        </w:tc>
      </w:tr>
      <w:tr w:rsidR="00876F95" w:rsidRPr="006333FB">
        <w:trPr>
          <w:trHeight w:val="138"/>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2115" w:type="dxa"/>
            <w:gridSpan w:val="3"/>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Placement</w:t>
            </w:r>
          </w:p>
        </w:tc>
        <w:tc>
          <w:tcPr>
            <w:tcW w:w="5673" w:type="dxa"/>
            <w:gridSpan w:val="7"/>
          </w:tcPr>
          <w:p w:rsidR="00876F95" w:rsidRPr="006333FB" w:rsidRDefault="00876F95" w:rsidP="006333FB">
            <w:pPr>
              <w:spacing w:after="0" w:line="240" w:lineRule="auto"/>
              <w:rPr>
                <w:rFonts w:ascii="Arial" w:hAnsi="Arial" w:cs="Arial"/>
                <w:color w:val="000000"/>
              </w:rPr>
            </w:pP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 xml:space="preserve">Formative </w:t>
            </w:r>
            <w:r w:rsidRPr="006333FB">
              <w:rPr>
                <w:rFonts w:ascii="Arial" w:hAnsi="Arial" w:cs="Arial"/>
                <w:b/>
                <w:color w:val="000000"/>
                <w:sz w:val="24"/>
                <w:szCs w:val="24"/>
              </w:rPr>
              <w:lastRenderedPageBreak/>
              <w:t>assessment strategy</w:t>
            </w:r>
          </w:p>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(200 words max|)</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BB3572">
            <w:pPr>
              <w:pStyle w:val="Default"/>
              <w:rPr>
                <w:sz w:val="22"/>
                <w:szCs w:val="22"/>
              </w:rPr>
            </w:pPr>
            <w:r w:rsidRPr="006333FB">
              <w:rPr>
                <w:sz w:val="22"/>
                <w:szCs w:val="22"/>
              </w:rPr>
              <w:lastRenderedPageBreak/>
              <w:t xml:space="preserve">Formative assessment strategy for this module consists of various methods </w:t>
            </w:r>
            <w:r w:rsidRPr="006333FB">
              <w:rPr>
                <w:sz w:val="22"/>
                <w:szCs w:val="22"/>
              </w:rPr>
              <w:lastRenderedPageBreak/>
              <w:t xml:space="preserve">such as: </w:t>
            </w:r>
          </w:p>
          <w:p w:rsidR="00876F95" w:rsidRPr="006333FB" w:rsidRDefault="00876F95" w:rsidP="00C30A30">
            <w:pPr>
              <w:pStyle w:val="Default"/>
              <w:rPr>
                <w:sz w:val="22"/>
                <w:szCs w:val="22"/>
              </w:rPr>
            </w:pPr>
            <w:r w:rsidRPr="006333FB">
              <w:rPr>
                <w:sz w:val="22"/>
                <w:szCs w:val="22"/>
              </w:rPr>
              <w:t>In class activity: The use of discussion-problem approach and discussion. Debate sessions will consolidate and develop underpinning knowledge, providing opportunities for you to develop analytical and problem solving skills. Assessment preparation: Examination skills techniques will include working on practice examination questions for which feedback will be provided.</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lastRenderedPageBreak/>
              <w:t>Summative assessment strategy</w:t>
            </w:r>
          </w:p>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(brief)</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Two methods of assessments have been designed for this module: Presentation and written exam. </w:t>
            </w:r>
          </w:p>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Presentation is on the general role of accounting in Islamic economy, issues related to Islamic banking and finance, and assess your ability to identify the difference between conventional and Islamic accounting, and apply Islamic financial principles in accounting environment. Student will make in-debt Critical analysis of the accounting</w:t>
            </w:r>
            <w:r w:rsidR="0036028C">
              <w:rPr>
                <w:rFonts w:ascii="Arial" w:hAnsi="Arial" w:cs="Arial"/>
                <w:color w:val="000000"/>
              </w:rPr>
              <w:t xml:space="preserve"> and </w:t>
            </w:r>
            <w:proofErr w:type="gramStart"/>
            <w:r w:rsidR="0036028C">
              <w:rPr>
                <w:rFonts w:ascii="Arial" w:hAnsi="Arial" w:cs="Arial"/>
                <w:color w:val="000000"/>
              </w:rPr>
              <w:t xml:space="preserve">auditing </w:t>
            </w:r>
            <w:r w:rsidRPr="006333FB">
              <w:rPr>
                <w:rFonts w:ascii="Arial" w:hAnsi="Arial" w:cs="Arial"/>
                <w:color w:val="000000"/>
              </w:rPr>
              <w:t xml:space="preserve"> in</w:t>
            </w:r>
            <w:proofErr w:type="gramEnd"/>
            <w:r w:rsidRPr="006333FB">
              <w:rPr>
                <w:rFonts w:ascii="Arial" w:hAnsi="Arial" w:cs="Arial"/>
                <w:color w:val="000000"/>
              </w:rPr>
              <w:t xml:space="preserve"> Islamic banks.</w:t>
            </w:r>
          </w:p>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The closed book examination will enable you to demonstrate and review your knowledge and understanding of Islamic accounting </w:t>
            </w:r>
            <w:r w:rsidR="0036028C">
              <w:rPr>
                <w:rFonts w:ascii="Arial" w:hAnsi="Arial" w:cs="Arial"/>
                <w:color w:val="000000"/>
              </w:rPr>
              <w:t xml:space="preserve">and auditing, differences and specific </w:t>
            </w:r>
            <w:r w:rsidRPr="006333FB">
              <w:rPr>
                <w:rFonts w:ascii="Arial" w:hAnsi="Arial" w:cs="Arial"/>
                <w:color w:val="000000"/>
              </w:rPr>
              <w:t>operations of Islamic banks and other Islamic financial institutions.</w:t>
            </w:r>
          </w:p>
          <w:p w:rsidR="00876F95" w:rsidRPr="006333FB" w:rsidRDefault="00876F95" w:rsidP="006333FB">
            <w:pPr>
              <w:spacing w:after="0" w:line="240" w:lineRule="auto"/>
              <w:rPr>
                <w:rFonts w:ascii="Arial" w:hAnsi="Arial" w:cs="Arial"/>
                <w:color w:val="000000"/>
              </w:rPr>
            </w:pPr>
          </w:p>
        </w:tc>
      </w:tr>
      <w:tr w:rsidR="00876F95" w:rsidRPr="006333FB">
        <w:trPr>
          <w:trHeight w:val="44"/>
        </w:trPr>
        <w:tc>
          <w:tcPr>
            <w:tcW w:w="2204" w:type="dxa"/>
            <w:vMerge w:val="restart"/>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Summative assessment</w:t>
            </w:r>
          </w:p>
        </w:tc>
        <w:tc>
          <w:tcPr>
            <w:tcW w:w="669" w:type="dxa"/>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Item</w:t>
            </w:r>
          </w:p>
        </w:tc>
        <w:tc>
          <w:tcPr>
            <w:tcW w:w="803" w:type="dxa"/>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Final item?</w:t>
            </w:r>
          </w:p>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Y/N</w:t>
            </w:r>
          </w:p>
        </w:tc>
        <w:tc>
          <w:tcPr>
            <w:tcW w:w="1452" w:type="dxa"/>
            <w:gridSpan w:val="2"/>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Method</w:t>
            </w:r>
          </w:p>
        </w:tc>
        <w:tc>
          <w:tcPr>
            <w:tcW w:w="1134" w:type="dxa"/>
            <w:gridSpan w:val="2"/>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KIS category</w:t>
            </w:r>
          </w:p>
        </w:tc>
        <w:tc>
          <w:tcPr>
            <w:tcW w:w="1427" w:type="dxa"/>
            <w:gridSpan w:val="2"/>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Description</w:t>
            </w:r>
          </w:p>
        </w:tc>
        <w:tc>
          <w:tcPr>
            <w:tcW w:w="1023" w:type="dxa"/>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LO</w:t>
            </w:r>
          </w:p>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number</w:t>
            </w:r>
          </w:p>
        </w:tc>
        <w:tc>
          <w:tcPr>
            <w:tcW w:w="1280" w:type="dxa"/>
          </w:tcPr>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Weighting</w:t>
            </w:r>
          </w:p>
          <w:p w:rsidR="00876F95" w:rsidRPr="006333FB" w:rsidRDefault="00876F95" w:rsidP="006333FB">
            <w:pPr>
              <w:spacing w:after="0" w:line="240" w:lineRule="auto"/>
              <w:rPr>
                <w:rFonts w:ascii="Arial" w:hAnsi="Arial" w:cs="Arial"/>
                <w:b/>
                <w:color w:val="000000"/>
              </w:rPr>
            </w:pPr>
            <w:r w:rsidRPr="006333FB">
              <w:rPr>
                <w:rFonts w:ascii="Arial" w:hAnsi="Arial" w:cs="Arial"/>
                <w:b/>
                <w:color w:val="000000"/>
              </w:rPr>
              <w:t>%</w:t>
            </w:r>
          </w:p>
        </w:tc>
      </w:tr>
      <w:tr w:rsidR="00876F95" w:rsidRPr="006333FB">
        <w:trPr>
          <w:trHeight w:val="516"/>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669" w:type="dxa"/>
          </w:tcPr>
          <w:p w:rsidR="00876F95" w:rsidRPr="006333FB" w:rsidRDefault="00876F95" w:rsidP="006333FB">
            <w:pPr>
              <w:spacing w:after="0" w:line="240" w:lineRule="auto"/>
              <w:rPr>
                <w:rFonts w:ascii="Arial" w:hAnsi="Arial" w:cs="Arial"/>
                <w:color w:val="000000"/>
              </w:rPr>
            </w:pPr>
          </w:p>
        </w:tc>
        <w:tc>
          <w:tcPr>
            <w:tcW w:w="803" w:type="dxa"/>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N</w:t>
            </w:r>
          </w:p>
        </w:tc>
        <w:tc>
          <w:tcPr>
            <w:tcW w:w="1452"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Presentation </w:t>
            </w:r>
          </w:p>
        </w:tc>
        <w:tc>
          <w:tcPr>
            <w:tcW w:w="1134"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Practical </w:t>
            </w:r>
          </w:p>
        </w:tc>
        <w:tc>
          <w:tcPr>
            <w:tcW w:w="1427"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20 minutes</w:t>
            </w:r>
          </w:p>
        </w:tc>
        <w:tc>
          <w:tcPr>
            <w:tcW w:w="1023" w:type="dxa"/>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1, 3</w:t>
            </w:r>
          </w:p>
        </w:tc>
        <w:tc>
          <w:tcPr>
            <w:tcW w:w="1280" w:type="dxa"/>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50</w:t>
            </w:r>
          </w:p>
        </w:tc>
      </w:tr>
      <w:tr w:rsidR="00876F95" w:rsidRPr="006333FB">
        <w:trPr>
          <w:trHeight w:val="36"/>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669" w:type="dxa"/>
          </w:tcPr>
          <w:p w:rsidR="00876F95" w:rsidRPr="006333FB" w:rsidRDefault="00876F95" w:rsidP="006333FB">
            <w:pPr>
              <w:spacing w:after="0" w:line="240" w:lineRule="auto"/>
              <w:rPr>
                <w:rFonts w:ascii="Arial" w:hAnsi="Arial" w:cs="Arial"/>
                <w:color w:val="000000"/>
              </w:rPr>
            </w:pPr>
          </w:p>
        </w:tc>
        <w:tc>
          <w:tcPr>
            <w:tcW w:w="803" w:type="dxa"/>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Y</w:t>
            </w:r>
          </w:p>
        </w:tc>
        <w:tc>
          <w:tcPr>
            <w:tcW w:w="1452"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Exam </w:t>
            </w:r>
          </w:p>
        </w:tc>
        <w:tc>
          <w:tcPr>
            <w:tcW w:w="1134"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Written exam </w:t>
            </w:r>
          </w:p>
        </w:tc>
        <w:tc>
          <w:tcPr>
            <w:tcW w:w="1427" w:type="dxa"/>
            <w:gridSpan w:val="2"/>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2 hours</w:t>
            </w:r>
          </w:p>
        </w:tc>
        <w:tc>
          <w:tcPr>
            <w:tcW w:w="1023" w:type="dxa"/>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2</w:t>
            </w:r>
          </w:p>
        </w:tc>
        <w:tc>
          <w:tcPr>
            <w:tcW w:w="1280" w:type="dxa"/>
          </w:tcPr>
          <w:p w:rsidR="00876F95" w:rsidRPr="006333FB" w:rsidRDefault="00876F95" w:rsidP="006333FB">
            <w:pPr>
              <w:spacing w:after="0" w:line="240" w:lineRule="auto"/>
              <w:jc w:val="both"/>
              <w:rPr>
                <w:rFonts w:ascii="Arial" w:hAnsi="Arial" w:cs="Arial"/>
                <w:color w:val="000000"/>
              </w:rPr>
            </w:pPr>
            <w:r w:rsidRPr="006333FB">
              <w:rPr>
                <w:rFonts w:ascii="Arial" w:hAnsi="Arial" w:cs="Arial"/>
                <w:color w:val="000000"/>
              </w:rPr>
              <w:t>50</w:t>
            </w:r>
          </w:p>
        </w:tc>
      </w:tr>
      <w:tr w:rsidR="00876F95" w:rsidRPr="006333FB">
        <w:trPr>
          <w:trHeight w:val="46"/>
        </w:trPr>
        <w:tc>
          <w:tcPr>
            <w:tcW w:w="2204" w:type="dxa"/>
            <w:vMerge w:val="restart"/>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KIS Summary (assessment)</w:t>
            </w:r>
          </w:p>
        </w:tc>
        <w:tc>
          <w:tcPr>
            <w:tcW w:w="2115" w:type="dxa"/>
            <w:gridSpan w:val="3"/>
          </w:tcPr>
          <w:p w:rsidR="00876F95" w:rsidRPr="006333FB" w:rsidRDefault="00876F95" w:rsidP="006333FB">
            <w:pPr>
              <w:spacing w:after="0" w:line="240" w:lineRule="auto"/>
              <w:rPr>
                <w:rFonts w:ascii="Arial" w:hAnsi="Arial" w:cs="Arial"/>
                <w:color w:val="000000"/>
              </w:rPr>
            </w:pPr>
          </w:p>
        </w:tc>
        <w:tc>
          <w:tcPr>
            <w:tcW w:w="5673" w:type="dxa"/>
            <w:gridSpan w:val="7"/>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w:t>
            </w:r>
          </w:p>
        </w:tc>
      </w:tr>
      <w:tr w:rsidR="00876F95" w:rsidRPr="006333FB">
        <w:trPr>
          <w:trHeight w:val="46"/>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2115" w:type="dxa"/>
            <w:gridSpan w:val="3"/>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Written Exam</w:t>
            </w:r>
          </w:p>
        </w:tc>
        <w:tc>
          <w:tcPr>
            <w:tcW w:w="5673" w:type="dxa"/>
            <w:gridSpan w:val="7"/>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50 </w:t>
            </w:r>
          </w:p>
        </w:tc>
      </w:tr>
      <w:tr w:rsidR="00876F95" w:rsidRPr="006333FB">
        <w:trPr>
          <w:trHeight w:val="690"/>
        </w:trPr>
        <w:tc>
          <w:tcPr>
            <w:tcW w:w="2204" w:type="dxa"/>
            <w:vMerge/>
          </w:tcPr>
          <w:p w:rsidR="00876F95" w:rsidRPr="006333FB" w:rsidRDefault="00876F95" w:rsidP="006333FB">
            <w:pPr>
              <w:spacing w:after="0" w:line="240" w:lineRule="auto"/>
              <w:rPr>
                <w:rFonts w:ascii="Arial" w:hAnsi="Arial" w:cs="Arial"/>
                <w:b/>
                <w:color w:val="000000"/>
                <w:sz w:val="24"/>
                <w:szCs w:val="24"/>
              </w:rPr>
            </w:pPr>
          </w:p>
        </w:tc>
        <w:tc>
          <w:tcPr>
            <w:tcW w:w="2115" w:type="dxa"/>
            <w:gridSpan w:val="3"/>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Practical</w:t>
            </w:r>
          </w:p>
        </w:tc>
        <w:tc>
          <w:tcPr>
            <w:tcW w:w="5673" w:type="dxa"/>
            <w:gridSpan w:val="7"/>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50</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Feedback on assessment</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b/>
                <w:i/>
                <w:color w:val="000000"/>
              </w:rPr>
              <w:t>Formative:</w:t>
            </w:r>
            <w:r w:rsidRPr="006333FB">
              <w:rPr>
                <w:rFonts w:ascii="Arial" w:hAnsi="Arial" w:cs="Arial"/>
                <w:color w:val="000000"/>
              </w:rPr>
              <w:t xml:space="preserve">  At the end of the lecture where Formative Assessment is conducted, or a maximum of one week.</w:t>
            </w:r>
          </w:p>
          <w:p w:rsidR="00876F95" w:rsidRPr="006333FB" w:rsidRDefault="00876F95" w:rsidP="006333FB">
            <w:pPr>
              <w:spacing w:after="0" w:line="240" w:lineRule="auto"/>
              <w:rPr>
                <w:rFonts w:ascii="Arial" w:hAnsi="Arial" w:cs="Arial"/>
                <w:color w:val="000000"/>
              </w:rPr>
            </w:pPr>
            <w:r w:rsidRPr="006333FB">
              <w:rPr>
                <w:rFonts w:ascii="Arial" w:hAnsi="Arial" w:cs="Arial"/>
                <w:b/>
                <w:i/>
                <w:color w:val="000000"/>
              </w:rPr>
              <w:t>Summative</w:t>
            </w:r>
            <w:r w:rsidRPr="006333FB">
              <w:rPr>
                <w:rFonts w:ascii="Arial" w:hAnsi="Arial" w:cs="Arial"/>
                <w:color w:val="000000"/>
              </w:rPr>
              <w:t xml:space="preserve">:  Maximum of 3 weeks.    </w:t>
            </w: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Module pass mark</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50%    </w:t>
            </w:r>
          </w:p>
        </w:tc>
      </w:tr>
      <w:tr w:rsidR="00876F95" w:rsidRPr="0036028C">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t>Indicative reading list and other learning resources</w:t>
            </w:r>
          </w:p>
          <w:p w:rsidR="00876F95" w:rsidRPr="006333FB" w:rsidRDefault="00876F95" w:rsidP="006333FB">
            <w:pPr>
              <w:spacing w:after="0" w:line="240" w:lineRule="auto"/>
              <w:rPr>
                <w:rFonts w:ascii="Arial" w:hAnsi="Arial" w:cs="Arial"/>
                <w:b/>
                <w:color w:val="000000"/>
                <w:sz w:val="24"/>
                <w:szCs w:val="24"/>
              </w:rPr>
            </w:pPr>
          </w:p>
        </w:tc>
        <w:tc>
          <w:tcPr>
            <w:tcW w:w="7788" w:type="dxa"/>
            <w:gridSpan w:val="10"/>
          </w:tcPr>
          <w:p w:rsidR="00876F95" w:rsidRPr="006333FB" w:rsidRDefault="00876F95" w:rsidP="006333FB">
            <w:pPr>
              <w:pStyle w:val="ListParagraph"/>
              <w:widowControl w:val="0"/>
              <w:numPr>
                <w:ilvl w:val="0"/>
                <w:numId w:val="23"/>
              </w:numPr>
              <w:autoSpaceDE w:val="0"/>
              <w:autoSpaceDN w:val="0"/>
              <w:adjustRightInd w:val="0"/>
              <w:spacing w:after="240" w:line="240" w:lineRule="auto"/>
              <w:rPr>
                <w:lang w:val="en-US" w:eastAsia="en-GB"/>
              </w:rPr>
            </w:pPr>
            <w:r w:rsidRPr="006333FB">
              <w:rPr>
                <w:color w:val="000000"/>
              </w:rPr>
              <w:t xml:space="preserve">Accounting and Auditing Organization for Islamic Financial Institutions. (2008). </w:t>
            </w:r>
            <w:r w:rsidRPr="006333FB">
              <w:rPr>
                <w:i/>
                <w:color w:val="000000"/>
              </w:rPr>
              <w:t>Shari'a standards,</w:t>
            </w:r>
            <w:r w:rsidRPr="006333FB">
              <w:rPr>
                <w:color w:val="000000"/>
              </w:rPr>
              <w:t xml:space="preserve"> Manama, Bahrein.</w:t>
            </w:r>
          </w:p>
          <w:p w:rsidR="00876F95" w:rsidRPr="006333FB" w:rsidRDefault="00876F95" w:rsidP="006333FB">
            <w:pPr>
              <w:pStyle w:val="ListParagraph"/>
              <w:widowControl w:val="0"/>
              <w:numPr>
                <w:ilvl w:val="0"/>
                <w:numId w:val="23"/>
              </w:numPr>
              <w:autoSpaceDE w:val="0"/>
              <w:autoSpaceDN w:val="0"/>
              <w:adjustRightInd w:val="0"/>
              <w:spacing w:after="240" w:line="240" w:lineRule="auto"/>
              <w:rPr>
                <w:lang w:val="en-US" w:eastAsia="en-GB"/>
              </w:rPr>
            </w:pPr>
            <w:r w:rsidRPr="006333FB">
              <w:rPr>
                <w:color w:val="000000"/>
              </w:rPr>
              <w:t xml:space="preserve">Archer, S. and Karim, R. A. A. (2002). </w:t>
            </w:r>
            <w:r w:rsidRPr="006333FB">
              <w:rPr>
                <w:i/>
                <w:color w:val="000000"/>
              </w:rPr>
              <w:t>Islamic Finance Innovation and Growth</w:t>
            </w:r>
            <w:r w:rsidRPr="006333FB">
              <w:rPr>
                <w:color w:val="000000"/>
              </w:rPr>
              <w:t>, London: Euromoney Books.</w:t>
            </w:r>
          </w:p>
          <w:p w:rsidR="00876F95" w:rsidRPr="006333FB" w:rsidRDefault="00876F95" w:rsidP="006333FB">
            <w:pPr>
              <w:pStyle w:val="ListParagraph"/>
              <w:widowControl w:val="0"/>
              <w:numPr>
                <w:ilvl w:val="0"/>
                <w:numId w:val="23"/>
              </w:numPr>
              <w:autoSpaceDE w:val="0"/>
              <w:autoSpaceDN w:val="0"/>
              <w:adjustRightInd w:val="0"/>
              <w:spacing w:after="240" w:line="240" w:lineRule="auto"/>
              <w:rPr>
                <w:rFonts w:ascii="Times" w:hAnsi="Times" w:cs="Times"/>
                <w:sz w:val="24"/>
                <w:szCs w:val="24"/>
                <w:lang w:val="en-US" w:eastAsia="en-GB"/>
              </w:rPr>
            </w:pPr>
            <w:r w:rsidRPr="006333FB">
              <w:rPr>
                <w:color w:val="000000"/>
              </w:rPr>
              <w:t xml:space="preserve">Institute of Islamic Banking and Insurance: </w:t>
            </w:r>
            <w:r w:rsidRPr="006333FB">
              <w:rPr>
                <w:i/>
                <w:color w:val="000000"/>
              </w:rPr>
              <w:t>Accounting Issues in Islamic Banking</w:t>
            </w:r>
            <w:r w:rsidRPr="006333FB">
              <w:rPr>
                <w:color w:val="000000"/>
              </w:rPr>
              <w:t>,  London, 1994.</w:t>
            </w:r>
          </w:p>
          <w:p w:rsidR="00876F95" w:rsidRPr="006333FB" w:rsidRDefault="00876F95" w:rsidP="006333FB">
            <w:pPr>
              <w:pStyle w:val="ListParagraph"/>
              <w:widowControl w:val="0"/>
              <w:numPr>
                <w:ilvl w:val="0"/>
                <w:numId w:val="23"/>
              </w:numPr>
              <w:autoSpaceDE w:val="0"/>
              <w:autoSpaceDN w:val="0"/>
              <w:adjustRightInd w:val="0"/>
              <w:spacing w:after="240" w:line="240" w:lineRule="auto"/>
              <w:rPr>
                <w:lang w:val="en-US"/>
              </w:rPr>
            </w:pPr>
            <w:r w:rsidRPr="006333FB">
              <w:rPr>
                <w:color w:val="000000"/>
                <w:lang w:val="en-US"/>
              </w:rPr>
              <w:t xml:space="preserve">Napier, C. and </w:t>
            </w:r>
            <w:proofErr w:type="spellStart"/>
            <w:r w:rsidRPr="006333FB">
              <w:rPr>
                <w:color w:val="000000"/>
                <w:lang w:val="en-US"/>
              </w:rPr>
              <w:t>Haniffa</w:t>
            </w:r>
            <w:proofErr w:type="spellEnd"/>
            <w:r w:rsidRPr="006333FB">
              <w:rPr>
                <w:color w:val="000000"/>
                <w:lang w:val="en-US"/>
              </w:rPr>
              <w:t xml:space="preserve">, R. (2012). </w:t>
            </w:r>
            <w:r w:rsidRPr="006333FB">
              <w:rPr>
                <w:i/>
                <w:color w:val="000000"/>
                <w:lang w:val="en-US"/>
              </w:rPr>
              <w:t xml:space="preserve">Islamic Accounting, </w:t>
            </w:r>
            <w:smartTag w:uri="urn:schemas-microsoft-com:office:smarttags" w:element="place">
              <w:r w:rsidRPr="006333FB">
                <w:rPr>
                  <w:lang w:val="en-US"/>
                </w:rPr>
                <w:t>Cheltenham</w:t>
              </w:r>
            </w:smartTag>
            <w:r w:rsidRPr="006333FB">
              <w:rPr>
                <w:lang w:val="en-US"/>
              </w:rPr>
              <w:t xml:space="preserve">: </w:t>
            </w:r>
            <w:r w:rsidRPr="006333FB">
              <w:rPr>
                <w:color w:val="000000"/>
                <w:lang w:val="en-US"/>
              </w:rPr>
              <w:t>Edward Elgar Publishing Ltd.</w:t>
            </w:r>
          </w:p>
          <w:p w:rsidR="00876F95" w:rsidRPr="006333FB" w:rsidRDefault="00876F95" w:rsidP="006333FB">
            <w:pPr>
              <w:pStyle w:val="ListParagraph"/>
              <w:widowControl w:val="0"/>
              <w:numPr>
                <w:ilvl w:val="0"/>
                <w:numId w:val="23"/>
              </w:numPr>
              <w:autoSpaceDE w:val="0"/>
              <w:autoSpaceDN w:val="0"/>
              <w:adjustRightInd w:val="0"/>
              <w:spacing w:after="240" w:line="240" w:lineRule="auto"/>
              <w:rPr>
                <w:lang w:val="en-US" w:eastAsia="en-GB"/>
              </w:rPr>
            </w:pPr>
            <w:r w:rsidRPr="006333FB">
              <w:rPr>
                <w:color w:val="000000"/>
              </w:rPr>
              <w:t xml:space="preserve">Usmani, I. M. (2002). </w:t>
            </w:r>
            <w:r w:rsidRPr="006333FB">
              <w:rPr>
                <w:i/>
                <w:color w:val="000000"/>
              </w:rPr>
              <w:t>Meezanbank’s Guide to Islamic Banking</w:t>
            </w:r>
            <w:r w:rsidRPr="006333FB">
              <w:rPr>
                <w:color w:val="000000"/>
              </w:rPr>
              <w:t xml:space="preserve">. Karatchi: Darul-Ishaat. </w:t>
            </w:r>
          </w:p>
          <w:p w:rsidR="00876F95" w:rsidRPr="006333FB" w:rsidRDefault="00876F95" w:rsidP="006333FB">
            <w:pPr>
              <w:spacing w:before="100" w:beforeAutospacing="1" w:after="100" w:afterAutospacing="1" w:line="240" w:lineRule="auto"/>
              <w:outlineLvl w:val="0"/>
              <w:rPr>
                <w:rFonts w:ascii="Arial" w:hAnsi="Arial" w:cs="Arial"/>
                <w:bCs/>
                <w:color w:val="000000"/>
                <w:kern w:val="36"/>
                <w:lang w:val="bs-Latn-BA" w:eastAsia="bs-Latn-BA"/>
              </w:rPr>
            </w:pPr>
            <w:r w:rsidRPr="006333FB">
              <w:rPr>
                <w:rFonts w:ascii="Arial" w:hAnsi="Arial" w:cs="Arial"/>
                <w:bCs/>
                <w:color w:val="000000"/>
                <w:kern w:val="36"/>
                <w:lang w:val="bs-Latn-BA" w:eastAsia="bs-Latn-BA"/>
              </w:rPr>
              <w:t>Online sources:</w:t>
            </w:r>
          </w:p>
          <w:p w:rsidR="00876F95" w:rsidRPr="006333FB" w:rsidRDefault="00876F95" w:rsidP="006333FB">
            <w:pPr>
              <w:spacing w:before="100" w:beforeAutospacing="1" w:after="100" w:afterAutospacing="1" w:line="240" w:lineRule="auto"/>
              <w:outlineLvl w:val="0"/>
              <w:rPr>
                <w:rFonts w:ascii="Arial" w:hAnsi="Arial" w:cs="Arial"/>
                <w:bCs/>
                <w:color w:val="000000"/>
                <w:kern w:val="36"/>
                <w:lang w:val="bs-Latn-BA" w:eastAsia="bs-Latn-BA"/>
              </w:rPr>
            </w:pPr>
            <w:r w:rsidRPr="006333FB">
              <w:rPr>
                <w:rFonts w:ascii="Arial" w:hAnsi="Arial" w:cs="Arial"/>
                <w:bCs/>
                <w:color w:val="000000"/>
                <w:kern w:val="36"/>
                <w:lang w:val="bs-Latn-BA" w:eastAsia="bs-Latn-BA"/>
              </w:rPr>
              <w:lastRenderedPageBreak/>
              <w:t>Journal of Islamic Accounting and Business Research, available at:</w:t>
            </w:r>
          </w:p>
          <w:p w:rsidR="00876F95" w:rsidRPr="0036028C" w:rsidRDefault="00876F95" w:rsidP="006333FB">
            <w:pPr>
              <w:spacing w:after="0" w:line="240" w:lineRule="auto"/>
              <w:rPr>
                <w:rFonts w:ascii="Arial" w:hAnsi="Arial" w:cs="Arial"/>
                <w:lang w:val="bs-Latn-BA"/>
              </w:rPr>
            </w:pPr>
            <w:hyperlink r:id="rId7" w:history="1">
              <w:r w:rsidRPr="006333FB">
                <w:rPr>
                  <w:rStyle w:val="Hyperlink"/>
                  <w:rFonts w:ascii="Arial" w:hAnsi="Arial" w:cs="Arial"/>
                </w:rPr>
                <w:t>http</w:t>
              </w:r>
              <w:r w:rsidRPr="0036028C">
                <w:rPr>
                  <w:rStyle w:val="Hyperlink"/>
                  <w:rFonts w:ascii="Arial" w:hAnsi="Arial" w:cs="Arial"/>
                  <w:lang w:val="bs-Latn-BA"/>
                </w:rPr>
                <w:t>://</w:t>
              </w:r>
              <w:r w:rsidRPr="006333FB">
                <w:rPr>
                  <w:rStyle w:val="Hyperlink"/>
                  <w:rFonts w:ascii="Arial" w:hAnsi="Arial" w:cs="Arial"/>
                </w:rPr>
                <w:t>www</w:t>
              </w:r>
              <w:r w:rsidRPr="0036028C">
                <w:rPr>
                  <w:rStyle w:val="Hyperlink"/>
                  <w:rFonts w:ascii="Arial" w:hAnsi="Arial" w:cs="Arial"/>
                  <w:lang w:val="bs-Latn-BA"/>
                </w:rPr>
                <w:t>.</w:t>
              </w:r>
              <w:proofErr w:type="spellStart"/>
              <w:r w:rsidRPr="006333FB">
                <w:rPr>
                  <w:rStyle w:val="Hyperlink"/>
                  <w:rFonts w:ascii="Arial" w:hAnsi="Arial" w:cs="Arial"/>
                </w:rPr>
                <w:t>emeraldinsight</w:t>
              </w:r>
              <w:proofErr w:type="spellEnd"/>
              <w:r w:rsidRPr="0036028C">
                <w:rPr>
                  <w:rStyle w:val="Hyperlink"/>
                  <w:rFonts w:ascii="Arial" w:hAnsi="Arial" w:cs="Arial"/>
                  <w:lang w:val="bs-Latn-BA"/>
                </w:rPr>
                <w:t>.</w:t>
              </w:r>
              <w:r w:rsidRPr="006333FB">
                <w:rPr>
                  <w:rStyle w:val="Hyperlink"/>
                  <w:rFonts w:ascii="Arial" w:hAnsi="Arial" w:cs="Arial"/>
                </w:rPr>
                <w:t>com</w:t>
              </w:r>
              <w:r w:rsidRPr="0036028C">
                <w:rPr>
                  <w:rStyle w:val="Hyperlink"/>
                  <w:rFonts w:ascii="Arial" w:hAnsi="Arial" w:cs="Arial"/>
                  <w:lang w:val="bs-Latn-BA"/>
                </w:rPr>
                <w:t>/</w:t>
              </w:r>
              <w:proofErr w:type="spellStart"/>
              <w:r w:rsidRPr="006333FB">
                <w:rPr>
                  <w:rStyle w:val="Hyperlink"/>
                  <w:rFonts w:ascii="Arial" w:hAnsi="Arial" w:cs="Arial"/>
                </w:rPr>
                <w:t>doi</w:t>
              </w:r>
              <w:proofErr w:type="spellEnd"/>
              <w:r w:rsidRPr="0036028C">
                <w:rPr>
                  <w:rStyle w:val="Hyperlink"/>
                  <w:rFonts w:ascii="Arial" w:hAnsi="Arial" w:cs="Arial"/>
                  <w:lang w:val="bs-Latn-BA"/>
                </w:rPr>
                <w:t>/</w:t>
              </w:r>
              <w:r w:rsidRPr="006333FB">
                <w:rPr>
                  <w:rStyle w:val="Hyperlink"/>
                  <w:rFonts w:ascii="Arial" w:hAnsi="Arial" w:cs="Arial"/>
                </w:rPr>
                <w:t>abs</w:t>
              </w:r>
              <w:r w:rsidRPr="0036028C">
                <w:rPr>
                  <w:rStyle w:val="Hyperlink"/>
                  <w:rFonts w:ascii="Arial" w:hAnsi="Arial" w:cs="Arial"/>
                  <w:lang w:val="bs-Latn-BA"/>
                </w:rPr>
                <w:t>/10.1108/17590811311314276</w:t>
              </w:r>
            </w:hyperlink>
            <w:r w:rsidRPr="0036028C">
              <w:rPr>
                <w:rFonts w:ascii="Arial" w:hAnsi="Arial" w:cs="Arial"/>
                <w:lang w:val="bs-Latn-BA"/>
              </w:rPr>
              <w:t xml:space="preserve"> </w:t>
            </w:r>
          </w:p>
          <w:p w:rsidR="00876F95" w:rsidRPr="0036028C" w:rsidRDefault="00876F95" w:rsidP="006333FB">
            <w:pPr>
              <w:widowControl w:val="0"/>
              <w:autoSpaceDE w:val="0"/>
              <w:autoSpaceDN w:val="0"/>
              <w:adjustRightInd w:val="0"/>
              <w:spacing w:after="240" w:line="240" w:lineRule="auto"/>
              <w:rPr>
                <w:rFonts w:ascii="Times" w:hAnsi="Times" w:cs="Times"/>
                <w:sz w:val="24"/>
                <w:szCs w:val="24"/>
                <w:lang w:val="bs-Latn-BA"/>
              </w:rPr>
            </w:pPr>
          </w:p>
        </w:tc>
      </w:tr>
      <w:tr w:rsidR="00876F95" w:rsidRPr="006333FB">
        <w:tc>
          <w:tcPr>
            <w:tcW w:w="2204" w:type="dxa"/>
          </w:tcPr>
          <w:p w:rsidR="00876F95" w:rsidRPr="006333FB" w:rsidRDefault="00876F95" w:rsidP="006333FB">
            <w:pPr>
              <w:spacing w:after="0" w:line="240" w:lineRule="auto"/>
              <w:rPr>
                <w:rFonts w:ascii="Arial" w:hAnsi="Arial" w:cs="Arial"/>
                <w:b/>
                <w:color w:val="000000"/>
                <w:sz w:val="24"/>
                <w:szCs w:val="24"/>
              </w:rPr>
            </w:pPr>
            <w:r w:rsidRPr="006333FB">
              <w:rPr>
                <w:rFonts w:ascii="Arial" w:hAnsi="Arial" w:cs="Arial"/>
                <w:b/>
                <w:color w:val="000000"/>
                <w:sz w:val="24"/>
                <w:szCs w:val="24"/>
              </w:rPr>
              <w:lastRenderedPageBreak/>
              <w:t>Module in use from</w:t>
            </w:r>
          </w:p>
        </w:tc>
        <w:tc>
          <w:tcPr>
            <w:tcW w:w="7788" w:type="dxa"/>
            <w:gridSpan w:val="10"/>
          </w:tcPr>
          <w:p w:rsidR="00876F95" w:rsidRPr="006333FB" w:rsidRDefault="00876F95" w:rsidP="006333FB">
            <w:pPr>
              <w:spacing w:after="0" w:line="240" w:lineRule="auto"/>
              <w:rPr>
                <w:rFonts w:ascii="Arial" w:hAnsi="Arial" w:cs="Arial"/>
                <w:color w:val="000000"/>
              </w:rPr>
            </w:pPr>
            <w:r w:rsidRPr="006333FB">
              <w:rPr>
                <w:rFonts w:ascii="Arial" w:hAnsi="Arial" w:cs="Arial"/>
                <w:color w:val="000000"/>
              </w:rPr>
              <w:t xml:space="preserve">Sep 2015   </w:t>
            </w:r>
          </w:p>
        </w:tc>
      </w:tr>
    </w:tbl>
    <w:p w:rsidR="00876F95" w:rsidRDefault="00876F95"/>
    <w:sectPr w:rsidR="00876F95" w:rsidSect="00C23D2B">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C4" w:rsidRDefault="001312C4" w:rsidP="002271F8">
      <w:pPr>
        <w:spacing w:after="0" w:line="240" w:lineRule="auto"/>
      </w:pPr>
      <w:r>
        <w:separator/>
      </w:r>
    </w:p>
  </w:endnote>
  <w:endnote w:type="continuationSeparator" w:id="0">
    <w:p w:rsidR="001312C4" w:rsidRDefault="001312C4" w:rsidP="0022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C4" w:rsidRDefault="001312C4" w:rsidP="002271F8">
      <w:pPr>
        <w:spacing w:after="0" w:line="240" w:lineRule="auto"/>
      </w:pPr>
      <w:r>
        <w:separator/>
      </w:r>
    </w:p>
  </w:footnote>
  <w:footnote w:type="continuationSeparator" w:id="0">
    <w:p w:rsidR="001312C4" w:rsidRDefault="001312C4" w:rsidP="00227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F95" w:rsidRPr="002271F8" w:rsidRDefault="00666F95">
    <w:pPr>
      <w:pStyle w:val="Header"/>
      <w:rPr>
        <w:rFonts w:ascii="Arial" w:hAnsi="Arial" w:cs="Arial"/>
        <w:b/>
        <w:sz w:val="24"/>
        <w:szCs w:val="24"/>
      </w:rPr>
    </w:pPr>
  </w:p>
  <w:p w:rsidR="00666F95" w:rsidRDefault="00666F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2F4A"/>
    <w:multiLevelType w:val="hybridMultilevel"/>
    <w:tmpl w:val="AF10A52C"/>
    <w:lvl w:ilvl="0" w:tplc="0088D9BC">
      <w:start w:val="1"/>
      <w:numFmt w:val="decimal"/>
      <w:lvlText w:val="%1."/>
      <w:lvlJc w:val="left"/>
      <w:pPr>
        <w:ind w:left="720" w:hanging="360"/>
      </w:pPr>
      <w:rPr>
        <w:rFonts w:ascii="Arial" w:eastAsia="Times New Roman"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A201C84"/>
    <w:multiLevelType w:val="hybridMultilevel"/>
    <w:tmpl w:val="DAF0CA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nsid w:val="0AEC2155"/>
    <w:multiLevelType w:val="hybridMultilevel"/>
    <w:tmpl w:val="DAF0CA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6447293"/>
    <w:multiLevelType w:val="hybridMultilevel"/>
    <w:tmpl w:val="B542552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B5F5154"/>
    <w:multiLevelType w:val="hybridMultilevel"/>
    <w:tmpl w:val="C0EEE432"/>
    <w:lvl w:ilvl="0" w:tplc="0088D9BC">
      <w:start w:val="1"/>
      <w:numFmt w:val="decimal"/>
      <w:lvlText w:val="%1."/>
      <w:lvlJc w:val="left"/>
      <w:pPr>
        <w:ind w:left="720" w:hanging="360"/>
      </w:pPr>
      <w:rPr>
        <w:rFonts w:ascii="Arial" w:eastAsia="Times New Roman"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2526EED"/>
    <w:multiLevelType w:val="hybridMultilevel"/>
    <w:tmpl w:val="5392907C"/>
    <w:lvl w:ilvl="0" w:tplc="705E3258">
      <w:start w:val="1"/>
      <w:numFmt w:val="decimal"/>
      <w:pStyle w:val="DISLITERATURA"/>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335E5733"/>
    <w:multiLevelType w:val="hybridMultilevel"/>
    <w:tmpl w:val="AEC2EA8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34CA6571"/>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8">
    <w:nsid w:val="34D511E8"/>
    <w:multiLevelType w:val="hybridMultilevel"/>
    <w:tmpl w:val="D0C2248A"/>
    <w:lvl w:ilvl="0" w:tplc="E60E5484">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7AA2366"/>
    <w:multiLevelType w:val="hybridMultilevel"/>
    <w:tmpl w:val="D3D66EE8"/>
    <w:lvl w:ilvl="0" w:tplc="34925654">
      <w:start w:val="1"/>
      <w:numFmt w:val="decimal"/>
      <w:lvlText w:val="%1."/>
      <w:lvlJc w:val="left"/>
      <w:pPr>
        <w:ind w:left="360" w:hanging="360"/>
      </w:pPr>
      <w:rPr>
        <w:rFonts w:ascii="Arial" w:hAnsi="Arial" w:cs="Arial" w:hint="default"/>
        <w:color w:val="auto"/>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38735FA3"/>
    <w:multiLevelType w:val="hybridMultilevel"/>
    <w:tmpl w:val="54220584"/>
    <w:lvl w:ilvl="0" w:tplc="141A000F">
      <w:start w:val="1"/>
      <w:numFmt w:val="decimal"/>
      <w:lvlText w:val="%1."/>
      <w:lvlJc w:val="left"/>
      <w:pPr>
        <w:ind w:left="360" w:hanging="360"/>
      </w:pPr>
      <w:rPr>
        <w:rFonts w:cs="Times New Roman"/>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11">
    <w:nsid w:val="3AF80C7C"/>
    <w:multiLevelType w:val="hybridMultilevel"/>
    <w:tmpl w:val="DAF0CA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3D1336E5"/>
    <w:multiLevelType w:val="hybridMultilevel"/>
    <w:tmpl w:val="746E225C"/>
    <w:lvl w:ilvl="0" w:tplc="832E1150">
      <w:start w:val="1"/>
      <w:numFmt w:val="bullet"/>
      <w:lvlText w:val="•"/>
      <w:lvlJc w:val="left"/>
      <w:pPr>
        <w:ind w:left="1080" w:hanging="360"/>
      </w:pPr>
      <w:rPr>
        <w:rFonts w:ascii="Times New Roman" w:hAnsi="Times New Roman" w:hint="default"/>
      </w:rPr>
    </w:lvl>
    <w:lvl w:ilvl="1" w:tplc="101A0003" w:tentative="1">
      <w:start w:val="1"/>
      <w:numFmt w:val="bullet"/>
      <w:lvlText w:val="o"/>
      <w:lvlJc w:val="left"/>
      <w:pPr>
        <w:ind w:left="1800" w:hanging="360"/>
      </w:pPr>
      <w:rPr>
        <w:rFonts w:ascii="Courier New" w:hAnsi="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3">
    <w:nsid w:val="3E3B2669"/>
    <w:multiLevelType w:val="hybridMultilevel"/>
    <w:tmpl w:val="B542552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44B356A5"/>
    <w:multiLevelType w:val="hybridMultilevel"/>
    <w:tmpl w:val="AEC2EA8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nsid w:val="466317CB"/>
    <w:multiLevelType w:val="hybridMultilevel"/>
    <w:tmpl w:val="B542552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47107DC5"/>
    <w:multiLevelType w:val="hybridMultilevel"/>
    <w:tmpl w:val="5AACCC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4ADC1F6C"/>
    <w:multiLevelType w:val="multilevel"/>
    <w:tmpl w:val="96AA648C"/>
    <w:lvl w:ilvl="0">
      <w:start w:val="1"/>
      <w:numFmt w:val="bullet"/>
      <w:lvlText w:val=""/>
      <w:lvlJc w:val="left"/>
      <w:pPr>
        <w:ind w:left="720" w:hanging="360"/>
      </w:pPr>
      <w:rPr>
        <w:rFonts w:ascii="Symbol" w:hAnsi="Symbol" w:hint="default"/>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080" w:hanging="72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18">
    <w:nsid w:val="4C6161FC"/>
    <w:multiLevelType w:val="hybridMultilevel"/>
    <w:tmpl w:val="B542552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D91752D"/>
    <w:multiLevelType w:val="hybridMultilevel"/>
    <w:tmpl w:val="300C984E"/>
    <w:lvl w:ilvl="0" w:tplc="0409000F">
      <w:start w:val="1"/>
      <w:numFmt w:val="decimal"/>
      <w:lvlText w:val="%1."/>
      <w:lvlJc w:val="left"/>
      <w:pPr>
        <w:ind w:left="36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0">
    <w:nsid w:val="52585017"/>
    <w:multiLevelType w:val="hybridMultilevel"/>
    <w:tmpl w:val="B0F41CB2"/>
    <w:lvl w:ilvl="0" w:tplc="0409000F">
      <w:start w:val="1"/>
      <w:numFmt w:val="decimal"/>
      <w:lvlText w:val="%1."/>
      <w:lvlJc w:val="left"/>
      <w:pPr>
        <w:ind w:left="36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1">
    <w:nsid w:val="64D47290"/>
    <w:multiLevelType w:val="hybridMultilevel"/>
    <w:tmpl w:val="B542552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74967E3B"/>
    <w:multiLevelType w:val="hybridMultilevel"/>
    <w:tmpl w:val="C3A65516"/>
    <w:lvl w:ilvl="0" w:tplc="141A000F">
      <w:start w:val="1"/>
      <w:numFmt w:val="decimal"/>
      <w:lvlText w:val="%1."/>
      <w:lvlJc w:val="left"/>
      <w:pPr>
        <w:ind w:left="360" w:hanging="360"/>
      </w:pPr>
      <w:rPr>
        <w:rFonts w:cs="Times New Roman"/>
      </w:rPr>
    </w:lvl>
    <w:lvl w:ilvl="1" w:tplc="141A0019">
      <w:start w:val="1"/>
      <w:numFmt w:val="lowerLetter"/>
      <w:lvlText w:val="%2."/>
      <w:lvlJc w:val="left"/>
      <w:pPr>
        <w:ind w:left="1080" w:hanging="360"/>
      </w:pPr>
      <w:rPr>
        <w:rFonts w:cs="Times New Roman"/>
      </w:rPr>
    </w:lvl>
    <w:lvl w:ilvl="2" w:tplc="141A001B">
      <w:start w:val="1"/>
      <w:numFmt w:val="lowerRoman"/>
      <w:lvlText w:val="%3."/>
      <w:lvlJc w:val="right"/>
      <w:pPr>
        <w:ind w:left="1800" w:hanging="180"/>
      </w:pPr>
      <w:rPr>
        <w:rFonts w:cs="Times New Roman"/>
      </w:rPr>
    </w:lvl>
    <w:lvl w:ilvl="3" w:tplc="141A000F">
      <w:start w:val="1"/>
      <w:numFmt w:val="decimal"/>
      <w:lvlText w:val="%4."/>
      <w:lvlJc w:val="left"/>
      <w:pPr>
        <w:ind w:left="2520" w:hanging="360"/>
      </w:pPr>
      <w:rPr>
        <w:rFonts w:cs="Times New Roman"/>
      </w:rPr>
    </w:lvl>
    <w:lvl w:ilvl="4" w:tplc="141A0019">
      <w:start w:val="1"/>
      <w:numFmt w:val="lowerLetter"/>
      <w:lvlText w:val="%5."/>
      <w:lvlJc w:val="left"/>
      <w:pPr>
        <w:ind w:left="3240" w:hanging="360"/>
      </w:pPr>
      <w:rPr>
        <w:rFonts w:cs="Times New Roman"/>
      </w:rPr>
    </w:lvl>
    <w:lvl w:ilvl="5" w:tplc="141A001B">
      <w:start w:val="1"/>
      <w:numFmt w:val="lowerRoman"/>
      <w:lvlText w:val="%6."/>
      <w:lvlJc w:val="right"/>
      <w:pPr>
        <w:ind w:left="3960" w:hanging="180"/>
      </w:pPr>
      <w:rPr>
        <w:rFonts w:cs="Times New Roman"/>
      </w:rPr>
    </w:lvl>
    <w:lvl w:ilvl="6" w:tplc="141A000F">
      <w:start w:val="1"/>
      <w:numFmt w:val="decimal"/>
      <w:lvlText w:val="%7."/>
      <w:lvlJc w:val="left"/>
      <w:pPr>
        <w:ind w:left="4680" w:hanging="360"/>
      </w:pPr>
      <w:rPr>
        <w:rFonts w:cs="Times New Roman"/>
      </w:rPr>
    </w:lvl>
    <w:lvl w:ilvl="7" w:tplc="141A0019">
      <w:start w:val="1"/>
      <w:numFmt w:val="lowerLetter"/>
      <w:lvlText w:val="%8."/>
      <w:lvlJc w:val="left"/>
      <w:pPr>
        <w:ind w:left="5400" w:hanging="360"/>
      </w:pPr>
      <w:rPr>
        <w:rFonts w:cs="Times New Roman"/>
      </w:rPr>
    </w:lvl>
    <w:lvl w:ilvl="8" w:tplc="141A001B">
      <w:start w:val="1"/>
      <w:numFmt w:val="lowerRoman"/>
      <w:lvlText w:val="%9."/>
      <w:lvlJc w:val="right"/>
      <w:pPr>
        <w:ind w:left="6120" w:hanging="180"/>
      </w:pPr>
      <w:rPr>
        <w:rFonts w:cs="Times New Roman"/>
      </w:rPr>
    </w:lvl>
  </w:abstractNum>
  <w:abstractNum w:abstractNumId="23">
    <w:nsid w:val="762A70F6"/>
    <w:multiLevelType w:val="hybridMultilevel"/>
    <w:tmpl w:val="DAF0CA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3"/>
  </w:num>
  <w:num w:numId="14">
    <w:abstractNumId w:val="2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7"/>
  </w:num>
  <w:num w:numId="23">
    <w:abstractNumId w:val="8"/>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B510B7"/>
    <w:rsid w:val="00011B65"/>
    <w:rsid w:val="000B07E8"/>
    <w:rsid w:val="001312C4"/>
    <w:rsid w:val="0015517F"/>
    <w:rsid w:val="001A03DD"/>
    <w:rsid w:val="001A2D47"/>
    <w:rsid w:val="001B17C2"/>
    <w:rsid w:val="00216BE6"/>
    <w:rsid w:val="002271F8"/>
    <w:rsid w:val="00275348"/>
    <w:rsid w:val="002A4932"/>
    <w:rsid w:val="002C7192"/>
    <w:rsid w:val="00340C58"/>
    <w:rsid w:val="0036028C"/>
    <w:rsid w:val="003815F8"/>
    <w:rsid w:val="00470224"/>
    <w:rsid w:val="00477D3F"/>
    <w:rsid w:val="00485E9D"/>
    <w:rsid w:val="004903A8"/>
    <w:rsid w:val="00490431"/>
    <w:rsid w:val="004927D7"/>
    <w:rsid w:val="004D7C6C"/>
    <w:rsid w:val="004E0BF7"/>
    <w:rsid w:val="0050484C"/>
    <w:rsid w:val="0052625F"/>
    <w:rsid w:val="005D0E9E"/>
    <w:rsid w:val="005F03FB"/>
    <w:rsid w:val="00624154"/>
    <w:rsid w:val="006333FB"/>
    <w:rsid w:val="0065446E"/>
    <w:rsid w:val="00666F95"/>
    <w:rsid w:val="0069621A"/>
    <w:rsid w:val="00701B7A"/>
    <w:rsid w:val="007267D9"/>
    <w:rsid w:val="00727208"/>
    <w:rsid w:val="007324D2"/>
    <w:rsid w:val="007352B8"/>
    <w:rsid w:val="007913DE"/>
    <w:rsid w:val="00791F3C"/>
    <w:rsid w:val="007A586B"/>
    <w:rsid w:val="008468A4"/>
    <w:rsid w:val="00876F95"/>
    <w:rsid w:val="0088280E"/>
    <w:rsid w:val="00884ACD"/>
    <w:rsid w:val="008A4415"/>
    <w:rsid w:val="00941372"/>
    <w:rsid w:val="00972E02"/>
    <w:rsid w:val="00993689"/>
    <w:rsid w:val="009A5146"/>
    <w:rsid w:val="009B2947"/>
    <w:rsid w:val="009F7E2F"/>
    <w:rsid w:val="00A22EF1"/>
    <w:rsid w:val="00A64F3C"/>
    <w:rsid w:val="00AA249F"/>
    <w:rsid w:val="00AA3288"/>
    <w:rsid w:val="00AA7E88"/>
    <w:rsid w:val="00AD262F"/>
    <w:rsid w:val="00AE0449"/>
    <w:rsid w:val="00B2556B"/>
    <w:rsid w:val="00B510B7"/>
    <w:rsid w:val="00B67E3D"/>
    <w:rsid w:val="00B771EF"/>
    <w:rsid w:val="00BB3572"/>
    <w:rsid w:val="00C02B1D"/>
    <w:rsid w:val="00C14672"/>
    <w:rsid w:val="00C23D2B"/>
    <w:rsid w:val="00C30A30"/>
    <w:rsid w:val="00C31F7A"/>
    <w:rsid w:val="00C531FF"/>
    <w:rsid w:val="00C80AB9"/>
    <w:rsid w:val="00CA68AC"/>
    <w:rsid w:val="00CB6B46"/>
    <w:rsid w:val="00CD0528"/>
    <w:rsid w:val="00D05E7E"/>
    <w:rsid w:val="00D13E5C"/>
    <w:rsid w:val="00D20794"/>
    <w:rsid w:val="00D3464D"/>
    <w:rsid w:val="00D367D0"/>
    <w:rsid w:val="00D53EB8"/>
    <w:rsid w:val="00D72500"/>
    <w:rsid w:val="00D856AC"/>
    <w:rsid w:val="00DB2370"/>
    <w:rsid w:val="00DF3076"/>
    <w:rsid w:val="00E117F1"/>
    <w:rsid w:val="00E54B79"/>
    <w:rsid w:val="00E66D8F"/>
    <w:rsid w:val="00E952C5"/>
    <w:rsid w:val="00EA572B"/>
    <w:rsid w:val="00EB2B5D"/>
    <w:rsid w:val="00ED6D26"/>
    <w:rsid w:val="00EE7739"/>
    <w:rsid w:val="00F55DA9"/>
    <w:rsid w:val="00F612A6"/>
    <w:rsid w:val="00FC3302"/>
    <w:rsid w:val="00FE34EA"/>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48"/>
    <w:pPr>
      <w:spacing w:after="200" w:line="276" w:lineRule="auto"/>
    </w:pPr>
    <w:rPr>
      <w:rFonts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0B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71F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271F8"/>
    <w:rPr>
      <w:rFonts w:cs="Times New Roman"/>
    </w:rPr>
  </w:style>
  <w:style w:type="paragraph" w:styleId="Footer">
    <w:name w:val="footer"/>
    <w:basedOn w:val="Normal"/>
    <w:link w:val="FooterChar"/>
    <w:uiPriority w:val="99"/>
    <w:semiHidden/>
    <w:unhideWhenUsed/>
    <w:rsid w:val="002271F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2271F8"/>
    <w:rPr>
      <w:rFonts w:cs="Times New Roman"/>
    </w:rPr>
  </w:style>
  <w:style w:type="character" w:styleId="Hyperlink">
    <w:name w:val="Hyperlink"/>
    <w:basedOn w:val="DefaultParagraphFont"/>
    <w:uiPriority w:val="99"/>
    <w:unhideWhenUsed/>
    <w:rsid w:val="00D367D0"/>
    <w:rPr>
      <w:rFonts w:cs="Times New Roman"/>
      <w:color w:val="0000FF"/>
      <w:u w:val="single"/>
    </w:rPr>
  </w:style>
  <w:style w:type="paragraph" w:styleId="ListParagraph">
    <w:name w:val="List Paragraph"/>
    <w:basedOn w:val="Normal"/>
    <w:uiPriority w:val="34"/>
    <w:qFormat/>
    <w:rsid w:val="009F7E2F"/>
    <w:pPr>
      <w:ind w:left="720"/>
      <w:contextualSpacing/>
    </w:pPr>
    <w:rPr>
      <w:rFonts w:ascii="Arial" w:hAnsi="Arial" w:cs="Arial"/>
      <w:lang w:val="tr-TR" w:eastAsia="hr-BA"/>
    </w:rPr>
  </w:style>
  <w:style w:type="paragraph" w:customStyle="1" w:styleId="Default">
    <w:name w:val="Default"/>
    <w:rsid w:val="00BB3572"/>
    <w:pPr>
      <w:autoSpaceDE w:val="0"/>
      <w:autoSpaceDN w:val="0"/>
      <w:adjustRightInd w:val="0"/>
    </w:pPr>
    <w:rPr>
      <w:rFonts w:ascii="Arial" w:hAnsi="Arial" w:cs="Arial"/>
      <w:color w:val="000000"/>
      <w:sz w:val="24"/>
      <w:szCs w:val="24"/>
      <w:lang w:val="en-US" w:eastAsia="en-GB"/>
    </w:rPr>
  </w:style>
  <w:style w:type="paragraph" w:customStyle="1" w:styleId="DISLITERATURA">
    <w:name w:val="DIS LITERATURA"/>
    <w:basedOn w:val="Normal"/>
    <w:autoRedefine/>
    <w:uiPriority w:val="99"/>
    <w:rsid w:val="00B67E3D"/>
    <w:pPr>
      <w:numPr>
        <w:numId w:val="11"/>
      </w:numPr>
      <w:spacing w:after="0" w:line="240" w:lineRule="auto"/>
    </w:pPr>
    <w:rPr>
      <w:rFonts w:ascii="Arial Narrow" w:eastAsia="SimSun" w:hAnsi="Arial Narrow" w:cs="Arial Narrow"/>
      <w:lang w:val="hr-BA" w:eastAsia="hr-HR"/>
    </w:rPr>
  </w:style>
  <w:style w:type="character" w:styleId="CommentReference">
    <w:name w:val="annotation reference"/>
    <w:basedOn w:val="DefaultParagraphFont"/>
    <w:uiPriority w:val="99"/>
    <w:semiHidden/>
    <w:unhideWhenUsed/>
    <w:rsid w:val="00C30A30"/>
    <w:rPr>
      <w:rFonts w:cs="Times New Roman"/>
      <w:sz w:val="16"/>
      <w:szCs w:val="16"/>
    </w:rPr>
  </w:style>
  <w:style w:type="paragraph" w:styleId="CommentText">
    <w:name w:val="annotation text"/>
    <w:basedOn w:val="Normal"/>
    <w:link w:val="CommentTextChar"/>
    <w:uiPriority w:val="99"/>
    <w:semiHidden/>
    <w:unhideWhenUsed/>
    <w:rsid w:val="00C30A3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30A30"/>
    <w:rPr>
      <w:rFonts w:cs="Times New Roman"/>
      <w:sz w:val="20"/>
      <w:szCs w:val="20"/>
    </w:rPr>
  </w:style>
  <w:style w:type="paragraph" w:styleId="CommentSubject">
    <w:name w:val="annotation subject"/>
    <w:basedOn w:val="CommentText"/>
    <w:next w:val="CommentText"/>
    <w:link w:val="CommentSubjectChar"/>
    <w:uiPriority w:val="99"/>
    <w:semiHidden/>
    <w:unhideWhenUsed/>
    <w:rsid w:val="00C30A30"/>
    <w:rPr>
      <w:b/>
      <w:bCs/>
    </w:rPr>
  </w:style>
  <w:style w:type="character" w:customStyle="1" w:styleId="CommentSubjectChar">
    <w:name w:val="Comment Subject Char"/>
    <w:basedOn w:val="CommentTextChar"/>
    <w:link w:val="CommentSubject"/>
    <w:uiPriority w:val="99"/>
    <w:semiHidden/>
    <w:locked/>
    <w:rsid w:val="00C30A30"/>
    <w:rPr>
      <w:b/>
      <w:bCs/>
    </w:rPr>
  </w:style>
  <w:style w:type="paragraph" w:styleId="BalloonText">
    <w:name w:val="Balloon Text"/>
    <w:basedOn w:val="Normal"/>
    <w:link w:val="BalloonTextChar"/>
    <w:uiPriority w:val="99"/>
    <w:semiHidden/>
    <w:unhideWhenUsed/>
    <w:rsid w:val="00C30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0A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eraldinsight.com/doi/abs/10.1108/175908113113142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6701</CharactersWithSpaces>
  <SharedDoc>false</SharedDoc>
  <HLinks>
    <vt:vector size="6" baseType="variant">
      <vt:variant>
        <vt:i4>3801129</vt:i4>
      </vt:variant>
      <vt:variant>
        <vt:i4>0</vt:i4>
      </vt:variant>
      <vt:variant>
        <vt:i4>0</vt:i4>
      </vt:variant>
      <vt:variant>
        <vt:i4>5</vt:i4>
      </vt:variant>
      <vt:variant>
        <vt:lpwstr>http://www.emeraldinsight.com/doi/abs/10.1108/17590811311314276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dc:creator>
  <cp:lastModifiedBy>ciebf</cp:lastModifiedBy>
  <cp:revision>2</cp:revision>
  <cp:lastPrinted>2015-10-21T08:49:00Z</cp:lastPrinted>
  <dcterms:created xsi:type="dcterms:W3CDTF">2015-10-21T08:59:00Z</dcterms:created>
  <dcterms:modified xsi:type="dcterms:W3CDTF">2015-10-21T08:59:00Z</dcterms:modified>
</cp:coreProperties>
</file>