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E0051" w14:textId="77777777" w:rsidR="00A5469A" w:rsidRPr="00A5469A" w:rsidRDefault="00A5469A" w:rsidP="00A5469A">
      <w:pPr>
        <w:spacing w:before="240"/>
        <w:jc w:val="center"/>
        <w:rPr>
          <w:rFonts w:ascii="Times New Roman" w:hAnsi="Times New Roman" w:cs="Times New Roman"/>
          <w:b/>
          <w:sz w:val="28"/>
          <w:lang w:val="en-GB"/>
        </w:rPr>
      </w:pPr>
      <w:r w:rsidRPr="00A5469A">
        <w:rPr>
          <w:rFonts w:ascii="Times New Roman" w:hAnsi="Times New Roman" w:cs="Times New Roman"/>
          <w:noProof/>
          <w:lang w:val="hr-BA" w:eastAsia="hr-BA"/>
        </w:rPr>
        <mc:AlternateContent>
          <mc:Choice Requires="wps">
            <w:drawing>
              <wp:anchor distT="0" distB="0" distL="114300" distR="114300" simplePos="0" relativeHeight="251661312" behindDoc="0" locked="0" layoutInCell="0" allowOverlap="1" wp14:anchorId="108DF7F2" wp14:editId="316DA62D">
                <wp:simplePos x="0" y="0"/>
                <wp:positionH relativeFrom="column">
                  <wp:posOffset>-19050</wp:posOffset>
                </wp:positionH>
                <wp:positionV relativeFrom="paragraph">
                  <wp:posOffset>47625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C62A4E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u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" o:allowincell="f" strokecolor="#d4d4d4" strokeweight="1.75pt">
                <v:shadow on="t" origin=".5,-.5" offset="0,-1pt"/>
              </v:line>
            </w:pict>
          </mc:Fallback>
        </mc:AlternateContent>
      </w:r>
      <w:r w:rsidRPr="00A5469A">
        <w:rPr>
          <w:rFonts w:ascii="Times New Roman" w:hAnsi="Times New Roman" w:cs="Times New Roman"/>
          <w:b/>
          <w:sz w:val="28"/>
          <w:lang w:val="en-GB"/>
        </w:rPr>
        <w:t>SUPPLY CONTRACT NOTICE</w:t>
      </w:r>
    </w:p>
    <w:p w14:paraId="57DEEEE1" w14:textId="77777777" w:rsidR="00A5469A" w:rsidRPr="00A5469A" w:rsidRDefault="00A5469A" w:rsidP="00A5469A">
      <w:pPr>
        <w:spacing w:after="240"/>
        <w:jc w:val="center"/>
        <w:rPr>
          <w:rFonts w:ascii="Times New Roman" w:hAnsi="Times New Roman" w:cs="Times New Roman"/>
          <w:bCs/>
          <w:sz w:val="22"/>
          <w:szCs w:val="22"/>
          <w:lang w:val="en-GB"/>
        </w:rPr>
      </w:pPr>
      <w:r w:rsidRPr="00A5469A">
        <w:rPr>
          <w:rFonts w:ascii="Times New Roman" w:hAnsi="Times New Roman" w:cs="Times New Roman"/>
          <w:b/>
          <w:sz w:val="22"/>
          <w:szCs w:val="22"/>
          <w:lang w:val="en-GB"/>
        </w:rPr>
        <w:t xml:space="preserve">SUPPLY OF COMPUTER EQUIPMENT/GOODS </w:t>
      </w:r>
    </w:p>
    <w:p w14:paraId="1E7F0435" w14:textId="77777777" w:rsidR="00A5469A" w:rsidRPr="00A5469A" w:rsidRDefault="00A5469A" w:rsidP="00A5469A">
      <w:pPr>
        <w:spacing w:after="240"/>
        <w:jc w:val="center"/>
        <w:rPr>
          <w:rStyle w:val="Strong"/>
          <w:rFonts w:ascii="Times New Roman" w:hAnsi="Times New Roman" w:cs="Times New Roman"/>
          <w:lang w:val="en-GB"/>
        </w:rPr>
      </w:pPr>
      <w:proofErr w:type="gramStart"/>
      <w:r w:rsidRPr="00A5469A">
        <w:rPr>
          <w:rFonts w:ascii="Times New Roman" w:hAnsi="Times New Roman" w:cs="Times New Roman"/>
          <w:bCs/>
          <w:sz w:val="22"/>
          <w:szCs w:val="22"/>
          <w:lang w:val="en-GB"/>
        </w:rPr>
        <w:t>required</w:t>
      </w:r>
      <w:proofErr w:type="gramEnd"/>
      <w:r w:rsidRPr="00A5469A">
        <w:rPr>
          <w:rFonts w:ascii="Times New Roman" w:hAnsi="Times New Roman" w:cs="Times New Roman"/>
          <w:bCs/>
          <w:sz w:val="22"/>
          <w:szCs w:val="22"/>
          <w:lang w:val="en-GB"/>
        </w:rPr>
        <w:t xml:space="preserve"> for the project titled "Promoting Creative Tourism through new Experiential Sustainable routes" (acronym: CREATURES), financed from EU </w:t>
      </w:r>
      <w:proofErr w:type="spellStart"/>
      <w:r w:rsidRPr="00A5469A">
        <w:rPr>
          <w:rFonts w:ascii="Times New Roman" w:hAnsi="Times New Roman" w:cs="Times New Roman"/>
          <w:bCs/>
          <w:sz w:val="22"/>
          <w:szCs w:val="22"/>
          <w:lang w:val="en-GB"/>
        </w:rPr>
        <w:t>Interreg</w:t>
      </w:r>
      <w:proofErr w:type="spellEnd"/>
      <w:r w:rsidRPr="00A5469A">
        <w:rPr>
          <w:rFonts w:ascii="Times New Roman" w:hAnsi="Times New Roman" w:cs="Times New Roman"/>
          <w:bCs/>
          <w:sz w:val="22"/>
          <w:szCs w:val="22"/>
          <w:lang w:val="en-GB"/>
        </w:rPr>
        <w:t xml:space="preserve"> ADRION Adriatic-Ionian  programme and European Regional Development Fund - Instrument for Pre-Accession II Fund</w:t>
      </w:r>
    </w:p>
    <w:p w14:paraId="09D13043" w14:textId="77777777" w:rsidR="00A5469A" w:rsidRPr="00A5469A" w:rsidRDefault="00A5469A" w:rsidP="000161AE">
      <w:pPr>
        <w:spacing w:after="480"/>
        <w:jc w:val="center"/>
        <w:rPr>
          <w:rStyle w:val="Strong"/>
          <w:rFonts w:ascii="Times New Roman" w:hAnsi="Times New Roman" w:cs="Times New Roman"/>
          <w:lang w:val="en-GB"/>
        </w:rPr>
      </w:pPr>
      <w:r w:rsidRPr="00A5469A">
        <w:rPr>
          <w:rStyle w:val="Strong"/>
          <w:rFonts w:ascii="Times New Roman" w:hAnsi="Times New Roman" w:cs="Times New Roman"/>
          <w:lang w:val="en-GB"/>
        </w:rPr>
        <w:t>Sarajevo, Bosnia and Herzegovina</w:t>
      </w:r>
    </w:p>
    <w:p w14:paraId="393526FF"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Publication reference</w:t>
      </w:r>
    </w:p>
    <w:p w14:paraId="4725E85E" w14:textId="7F5A1298" w:rsidR="00A5469A" w:rsidRPr="00A5469A" w:rsidRDefault="00690EC9" w:rsidP="00A5469A">
      <w:pPr>
        <w:pStyle w:val="Blockquote"/>
        <w:tabs>
          <w:tab w:val="left" w:pos="709"/>
        </w:tabs>
        <w:ind w:left="709"/>
        <w:rPr>
          <w:sz w:val="22"/>
          <w:szCs w:val="22"/>
          <w:lang w:val="en-GB"/>
        </w:rPr>
      </w:pPr>
      <w:r>
        <w:rPr>
          <w:sz w:val="22"/>
          <w:szCs w:val="22"/>
          <w:lang w:val="en-GB"/>
        </w:rPr>
        <w:t>01-3-1957-R-1-4</w:t>
      </w:r>
      <w:r w:rsidR="004A0EB9" w:rsidRPr="004A0EB9">
        <w:rPr>
          <w:sz w:val="22"/>
          <w:szCs w:val="22"/>
          <w:lang w:val="en-GB"/>
        </w:rPr>
        <w:t>/21</w:t>
      </w:r>
      <w:r w:rsidR="00A5469A" w:rsidRPr="00A5469A">
        <w:rPr>
          <w:sz w:val="22"/>
          <w:szCs w:val="22"/>
          <w:lang w:val="en-GB"/>
        </w:rPr>
        <w:t xml:space="preserve"> </w:t>
      </w:r>
      <w:r>
        <w:rPr>
          <w:sz w:val="22"/>
          <w:szCs w:val="22"/>
          <w:lang w:val="en-GB"/>
        </w:rPr>
        <w:t xml:space="preserve"> </w:t>
      </w:r>
    </w:p>
    <w:p w14:paraId="14502EED"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Procedure</w:t>
      </w:r>
    </w:p>
    <w:p w14:paraId="6324E63B" w14:textId="77777777" w:rsidR="00A5469A" w:rsidRPr="00A5469A" w:rsidRDefault="00A5469A" w:rsidP="00A5469A">
      <w:pPr>
        <w:pStyle w:val="Blockquote"/>
        <w:tabs>
          <w:tab w:val="left" w:pos="709"/>
        </w:tabs>
        <w:ind w:left="709"/>
        <w:rPr>
          <w:sz w:val="22"/>
          <w:szCs w:val="22"/>
          <w:lang w:val="en-GB"/>
        </w:rPr>
      </w:pPr>
      <w:r w:rsidRPr="00A5469A">
        <w:rPr>
          <w:sz w:val="22"/>
          <w:szCs w:val="22"/>
          <w:lang w:val="en-GB"/>
        </w:rPr>
        <w:t>Single Tender</w:t>
      </w:r>
    </w:p>
    <w:p w14:paraId="19A13EC0"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Programme title</w:t>
      </w:r>
    </w:p>
    <w:p w14:paraId="59F11301" w14:textId="77777777" w:rsidR="00A5469A" w:rsidRPr="00A5469A" w:rsidRDefault="00A5469A" w:rsidP="00A5469A">
      <w:pPr>
        <w:pStyle w:val="PRAGHeading2"/>
        <w:numPr>
          <w:ilvl w:val="0"/>
          <w:numId w:val="0"/>
        </w:numPr>
        <w:ind w:left="644"/>
        <w:rPr>
          <w:lang w:val="en-GB"/>
        </w:rPr>
      </w:pPr>
      <w:r w:rsidRPr="00A5469A">
        <w:rPr>
          <w:rStyle w:val="Emphasis"/>
          <w:i w:val="0"/>
          <w:sz w:val="22"/>
          <w:szCs w:val="22"/>
        </w:rPr>
        <w:t xml:space="preserve">INTERREG V-B Adriatic-Ionian ADRION </w:t>
      </w:r>
      <w:proofErr w:type="spellStart"/>
      <w:r w:rsidRPr="00A5469A">
        <w:rPr>
          <w:rStyle w:val="Emphasis"/>
          <w:i w:val="0"/>
          <w:sz w:val="22"/>
          <w:szCs w:val="22"/>
        </w:rPr>
        <w:t>Programme</w:t>
      </w:r>
      <w:proofErr w:type="spellEnd"/>
      <w:r w:rsidRPr="00A5469A">
        <w:rPr>
          <w:rStyle w:val="Emphasis"/>
          <w:i w:val="0"/>
          <w:sz w:val="22"/>
          <w:szCs w:val="22"/>
        </w:rPr>
        <w:t xml:space="preserve"> 2014-2020</w:t>
      </w:r>
    </w:p>
    <w:p w14:paraId="1073039A"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Financing</w:t>
      </w:r>
    </w:p>
    <w:p w14:paraId="275DF68D" w14:textId="77777777" w:rsidR="00A5469A" w:rsidRPr="00A5469A" w:rsidRDefault="00A5469A" w:rsidP="00A5469A">
      <w:pPr>
        <w:pStyle w:val="Blockquote"/>
        <w:tabs>
          <w:tab w:val="left" w:pos="709"/>
        </w:tabs>
        <w:ind w:left="709"/>
        <w:rPr>
          <w:sz w:val="22"/>
          <w:szCs w:val="22"/>
          <w:lang w:val="en-GB"/>
        </w:rPr>
      </w:pPr>
      <w:r w:rsidRPr="00A5469A">
        <w:rPr>
          <w:sz w:val="22"/>
          <w:szCs w:val="22"/>
          <w:lang w:val="en-GB"/>
        </w:rPr>
        <w:t>Supply of goods</w:t>
      </w:r>
    </w:p>
    <w:p w14:paraId="5AC83D43"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Contracting authority</w:t>
      </w:r>
    </w:p>
    <w:p w14:paraId="4EE31C77" w14:textId="77777777" w:rsidR="00A5469A" w:rsidRPr="00A5469A" w:rsidRDefault="00A5469A" w:rsidP="00A5469A">
      <w:pPr>
        <w:tabs>
          <w:tab w:val="left" w:pos="1134"/>
        </w:tabs>
        <w:snapToGrid w:val="0"/>
        <w:spacing w:after="480"/>
        <w:ind w:left="709"/>
        <w:rPr>
          <w:rStyle w:val="Emphasis"/>
          <w:rFonts w:ascii="Times New Roman" w:hAnsi="Times New Roman" w:cs="Times New Roman"/>
          <w:i w:val="0"/>
          <w:noProof/>
          <w:sz w:val="22"/>
          <w:szCs w:val="22"/>
          <w:lang w:val="hr-BA"/>
        </w:rPr>
      </w:pPr>
      <w:r w:rsidRPr="00A5469A">
        <w:rPr>
          <w:rStyle w:val="Emphasis"/>
          <w:rFonts w:ascii="Times New Roman" w:hAnsi="Times New Roman" w:cs="Times New Roman"/>
          <w:sz w:val="22"/>
          <w:szCs w:val="22"/>
          <w:lang w:val="en-GB"/>
        </w:rPr>
        <w:t>School of Economics and Business Sarajevo/</w:t>
      </w:r>
      <w:r w:rsidRPr="00A5469A">
        <w:rPr>
          <w:rStyle w:val="Emphasis"/>
          <w:rFonts w:ascii="Times New Roman" w:hAnsi="Times New Roman" w:cs="Times New Roman"/>
          <w:noProof/>
          <w:sz w:val="22"/>
          <w:szCs w:val="22"/>
          <w:lang w:val="hr-BA"/>
        </w:rPr>
        <w:t>Ekonomski fakultet u Sarajevu</w:t>
      </w:r>
    </w:p>
    <w:p w14:paraId="79C7D4FF" w14:textId="77777777" w:rsidR="00A5469A" w:rsidRPr="00A5469A" w:rsidRDefault="00A5469A" w:rsidP="00A5469A">
      <w:pPr>
        <w:keepNext/>
        <w:keepLines/>
        <w:tabs>
          <w:tab w:val="left" w:pos="1134"/>
        </w:tabs>
        <w:snapToGrid w:val="0"/>
        <w:ind w:left="709"/>
        <w:jc w:val="center"/>
        <w:rPr>
          <w:rStyle w:val="Strong"/>
          <w:rFonts w:ascii="Times New Roman" w:hAnsi="Times New Roman" w:cs="Times New Roman"/>
          <w:sz w:val="28"/>
          <w:szCs w:val="28"/>
          <w:lang w:val="en-GB"/>
        </w:rPr>
      </w:pPr>
      <w:r w:rsidRPr="00A5469A">
        <w:rPr>
          <w:rStyle w:val="Strong"/>
          <w:rFonts w:ascii="Times New Roman" w:hAnsi="Times New Roman" w:cs="Times New Roman"/>
          <w:sz w:val="28"/>
          <w:szCs w:val="28"/>
          <w:lang w:val="en-GB"/>
        </w:rPr>
        <w:t>CONTRACT SPECIFICATIONS</w:t>
      </w:r>
    </w:p>
    <w:p w14:paraId="02433DB1" w14:textId="77777777" w:rsidR="00A5469A" w:rsidRPr="00A5469A" w:rsidRDefault="00A5469A" w:rsidP="00A5469A">
      <w:pPr>
        <w:keepNext/>
        <w:keepLines/>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Fonts w:ascii="Times New Roman" w:hAnsi="Times New Roman" w:cs="Times New Roman"/>
          <w:b/>
          <w:noProof/>
          <w:sz w:val="28"/>
          <w:szCs w:val="28"/>
          <w:lang w:val="hr-BA" w:eastAsia="hr-BA"/>
        </w:rPr>
        <mc:AlternateContent>
          <mc:Choice Requires="wps">
            <w:drawing>
              <wp:anchor distT="0" distB="0" distL="114300" distR="114300" simplePos="0" relativeHeight="251662336" behindDoc="0" locked="0" layoutInCell="0" allowOverlap="1" wp14:anchorId="568CED14" wp14:editId="77700535">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A0D51F"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0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" o:allowincell="f" strokecolor="#d4d4d4" strokeweight="1.75pt">
                <v:shadow on="t" origin=".5,-.5" offset="0,-1pt"/>
              </v:line>
            </w:pict>
          </mc:Fallback>
        </mc:AlternateContent>
      </w:r>
      <w:r w:rsidRPr="00A5469A">
        <w:rPr>
          <w:rStyle w:val="Strong"/>
          <w:rFonts w:ascii="Times New Roman" w:hAnsi="Times New Roman" w:cs="Times New Roman"/>
          <w:lang w:val="en-GB"/>
        </w:rPr>
        <w:t xml:space="preserve">Description of the contract </w:t>
      </w:r>
    </w:p>
    <w:p w14:paraId="68A256F0" w14:textId="77777777" w:rsidR="00A5469A" w:rsidRPr="00A5469A" w:rsidRDefault="00A5469A" w:rsidP="00A5469A">
      <w:pPr>
        <w:pStyle w:val="Blockquote"/>
        <w:ind w:left="709"/>
        <w:rPr>
          <w:sz w:val="22"/>
          <w:szCs w:val="22"/>
          <w:lang w:val="en-GB"/>
        </w:rPr>
      </w:pPr>
      <w:r w:rsidRPr="00A5469A">
        <w:rPr>
          <w:sz w:val="22"/>
          <w:szCs w:val="22"/>
          <w:lang w:val="en-GB"/>
        </w:rPr>
        <w:t>Supply and delivery by the contractor of the following goods:</w:t>
      </w:r>
    </w:p>
    <w:p w14:paraId="36EE1267" w14:textId="77777777" w:rsidR="00A5469A" w:rsidRPr="00A5469A" w:rsidRDefault="00A5469A" w:rsidP="00A5469A">
      <w:pPr>
        <w:pStyle w:val="Blockquote"/>
        <w:ind w:left="709"/>
        <w:rPr>
          <w:noProof/>
          <w:sz w:val="22"/>
          <w:szCs w:val="22"/>
          <w:lang w:val="hr-BA"/>
        </w:rPr>
      </w:pPr>
      <w:r w:rsidRPr="00A5469A">
        <w:rPr>
          <w:noProof/>
          <w:sz w:val="22"/>
          <w:szCs w:val="22"/>
          <w:lang w:val="hr-BA"/>
        </w:rPr>
        <w:t xml:space="preserve">Laptop - Brand name  4 pieces </w:t>
      </w:r>
    </w:p>
    <w:p w14:paraId="6644C265" w14:textId="77777777" w:rsidR="00A5469A" w:rsidRPr="00A5469A" w:rsidRDefault="00A5469A" w:rsidP="00A5469A">
      <w:pPr>
        <w:pStyle w:val="Blockquote"/>
        <w:ind w:left="709"/>
        <w:rPr>
          <w:noProof/>
          <w:sz w:val="22"/>
          <w:szCs w:val="22"/>
          <w:lang w:val="hr-BA"/>
        </w:rPr>
      </w:pPr>
      <w:r w:rsidRPr="00A5469A">
        <w:rPr>
          <w:noProof/>
          <w:sz w:val="22"/>
          <w:szCs w:val="22"/>
          <w:lang w:val="hr-BA"/>
        </w:rPr>
        <w:t>Multifunction device laser color printer/scanner/copier/fax   1 piece</w:t>
      </w:r>
    </w:p>
    <w:p w14:paraId="76E299BE" w14:textId="77777777" w:rsidR="00A5469A" w:rsidRPr="00A5469A" w:rsidRDefault="00A5469A" w:rsidP="00A5469A">
      <w:pPr>
        <w:pStyle w:val="Blockquote"/>
        <w:ind w:left="709"/>
        <w:rPr>
          <w:sz w:val="22"/>
          <w:szCs w:val="22"/>
          <w:lang w:val="en-GB"/>
        </w:rPr>
      </w:pPr>
    </w:p>
    <w:p w14:paraId="6E31144B" w14:textId="77777777" w:rsidR="00A5469A" w:rsidRPr="00A5469A" w:rsidRDefault="00A5469A" w:rsidP="00A5469A">
      <w:pPr>
        <w:pStyle w:val="Blockquote"/>
        <w:ind w:left="709"/>
        <w:rPr>
          <w:rStyle w:val="Strong"/>
          <w:noProof/>
          <w:szCs w:val="24"/>
          <w:lang w:val="en-GB"/>
        </w:rPr>
      </w:pPr>
      <w:r w:rsidRPr="00A5469A">
        <w:rPr>
          <w:rStyle w:val="Strong"/>
          <w:szCs w:val="24"/>
          <w:lang w:val="en-GB"/>
        </w:rPr>
        <w:t>Number and titles of lots</w:t>
      </w:r>
    </w:p>
    <w:p w14:paraId="6BE46E44" w14:textId="77777777" w:rsidR="00A5469A" w:rsidRPr="00A5469A" w:rsidRDefault="00A5469A" w:rsidP="00A5469A">
      <w:pPr>
        <w:pStyle w:val="Blockquote"/>
        <w:ind w:left="709"/>
        <w:jc w:val="both"/>
        <w:rPr>
          <w:rStyle w:val="Emphasis"/>
          <w:i w:val="0"/>
          <w:sz w:val="22"/>
          <w:szCs w:val="22"/>
          <w:lang w:val="en-GB"/>
        </w:rPr>
      </w:pPr>
      <w:proofErr w:type="gramStart"/>
      <w:r w:rsidRPr="00A5469A">
        <w:rPr>
          <w:rStyle w:val="Emphasis"/>
          <w:sz w:val="22"/>
          <w:szCs w:val="22"/>
          <w:lang w:val="en-GB"/>
        </w:rPr>
        <w:t>One lot only.</w:t>
      </w:r>
      <w:proofErr w:type="gramEnd"/>
    </w:p>
    <w:p w14:paraId="35670BA2" w14:textId="77777777" w:rsidR="00A5469A" w:rsidRPr="00A5469A" w:rsidRDefault="00A5469A" w:rsidP="00A5469A">
      <w:pPr>
        <w:pStyle w:val="Blockquote"/>
        <w:spacing w:before="480" w:after="120"/>
        <w:ind w:left="357" w:right="0"/>
        <w:jc w:val="center"/>
        <w:rPr>
          <w:rStyle w:val="Strong"/>
          <w:sz w:val="28"/>
          <w:szCs w:val="28"/>
          <w:lang w:val="en-GB"/>
        </w:rPr>
      </w:pPr>
      <w:r w:rsidRPr="00A5469A">
        <w:rPr>
          <w:b/>
          <w:noProof/>
          <w:snapToGrid/>
          <w:sz w:val="28"/>
          <w:szCs w:val="28"/>
          <w:lang w:val="hr-BA" w:eastAsia="hr-BA"/>
        </w:rPr>
        <mc:AlternateContent>
          <mc:Choice Requires="wps">
            <w:drawing>
              <wp:anchor distT="0" distB="0" distL="114300" distR="114300" simplePos="0" relativeHeight="251663360" behindDoc="0" locked="0" layoutInCell="0" allowOverlap="1" wp14:anchorId="1F84C681" wp14:editId="43C00D44">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9C9DD2"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" o:allowincell="f" strokecolor="#d4d4d4" strokeweight="1.75pt">
                <v:shadow on="t" origin=".5,-.5" offset="0,-1pt"/>
              </v:line>
            </w:pict>
          </mc:Fallback>
        </mc:AlternateContent>
      </w:r>
      <w:r w:rsidRPr="00A5469A">
        <w:rPr>
          <w:rStyle w:val="Strong"/>
          <w:sz w:val="28"/>
          <w:szCs w:val="28"/>
          <w:lang w:val="en-GB"/>
        </w:rPr>
        <w:t>TERMS OF PARTICIPATION</w:t>
      </w:r>
    </w:p>
    <w:p w14:paraId="4D36131A" w14:textId="77777777" w:rsidR="00A5469A" w:rsidRPr="00A5469A" w:rsidRDefault="00A5469A" w:rsidP="00A5469A">
      <w:pPr>
        <w:widowControl w:val="0"/>
        <w:numPr>
          <w:ilvl w:val="0"/>
          <w:numId w:val="7"/>
        </w:numPr>
        <w:tabs>
          <w:tab w:val="clear" w:pos="644"/>
          <w:tab w:val="num" w:pos="709"/>
        </w:tabs>
        <w:spacing w:before="100" w:after="100"/>
        <w:ind w:left="709"/>
        <w:outlineLvl w:val="0"/>
        <w:rPr>
          <w:rStyle w:val="Strong"/>
          <w:rFonts w:ascii="Times New Roman" w:hAnsi="Times New Roman" w:cs="Times New Roman"/>
          <w:lang w:val="en-GB"/>
        </w:rPr>
      </w:pPr>
      <w:r w:rsidRPr="00A5469A">
        <w:rPr>
          <w:rStyle w:val="Strong"/>
          <w:rFonts w:ascii="Times New Roman" w:hAnsi="Times New Roman" w:cs="Times New Roman"/>
          <w:lang w:val="en-GB"/>
        </w:rPr>
        <w:t xml:space="preserve">Eligibility and rules of origin </w:t>
      </w:r>
    </w:p>
    <w:p w14:paraId="2E87B0B3" w14:textId="77777777" w:rsidR="00A5469A" w:rsidRPr="00A5469A" w:rsidRDefault="00A5469A" w:rsidP="00A5469A">
      <w:pPr>
        <w:spacing w:before="360" w:after="240"/>
        <w:ind w:left="709" w:right="1"/>
        <w:jc w:val="both"/>
        <w:rPr>
          <w:rFonts w:ascii="Times New Roman" w:hAnsi="Times New Roman" w:cs="Times New Roman"/>
          <w:sz w:val="22"/>
          <w:szCs w:val="22"/>
          <w:lang w:val="en-GB"/>
        </w:rPr>
      </w:pPr>
      <w:r w:rsidRPr="00A5469A">
        <w:rPr>
          <w:rFonts w:ascii="Times New Roman" w:hAnsi="Times New Roman" w:cs="Times New Roman"/>
          <w:sz w:val="22"/>
          <w:szCs w:val="22"/>
          <w:lang w:val="en-GB"/>
        </w:rPr>
        <w:t xml:space="preserve">Participation is open to all </w:t>
      </w:r>
      <w:r w:rsidRPr="00A5469A">
        <w:rPr>
          <w:rFonts w:ascii="Times New Roman" w:eastAsia="Calibri" w:hAnsi="Times New Roman" w:cs="Times New Roman"/>
          <w:sz w:val="22"/>
          <w:szCs w:val="22"/>
        </w:rPr>
        <w:t xml:space="preserve">natural persons who are nationals of and </w:t>
      </w:r>
      <w:r w:rsidRPr="00A5469A">
        <w:rPr>
          <w:rFonts w:ascii="Times New Roman" w:hAnsi="Times New Roman" w:cs="Times New Roman"/>
          <w:sz w:val="22"/>
          <w:szCs w:val="22"/>
          <w:lang w:val="en-GB"/>
        </w:rPr>
        <w:t xml:space="preserve">legal persons (participating either individually or in a grouping – consortium – of tenderers) which are effectively established in </w:t>
      </w:r>
      <w:r w:rsidRPr="00A5469A">
        <w:rPr>
          <w:rFonts w:ascii="Times New Roman" w:hAnsi="Times New Roman" w:cs="Times New Roman"/>
          <w:sz w:val="22"/>
          <w:szCs w:val="22"/>
          <w:lang w:val="en-GB"/>
        </w:rPr>
        <w:lastRenderedPageBreak/>
        <w:t xml:space="preserve">a  Member State of the European Union or in a eligible country or territory as defined under </w:t>
      </w:r>
      <w:r w:rsidRPr="00A5469A">
        <w:rPr>
          <w:rFonts w:ascii="Times New Roman" w:eastAsia="Calibri" w:hAnsi="Times New Roman" w:cs="Times New Roman"/>
          <w:bCs/>
          <w:sz w:val="22"/>
          <w:szCs w:val="22"/>
        </w:rPr>
        <w:t xml:space="preserve">the Regulation </w:t>
      </w:r>
      <w:r w:rsidRPr="00A5469A">
        <w:rPr>
          <w:rFonts w:ascii="Times New Roman" w:hAnsi="Times New Roman" w:cs="Times New Roman"/>
          <w:sz w:val="22"/>
          <w:szCs w:val="22"/>
          <w:lang w:val="en-GB"/>
        </w:rPr>
        <w:t>(EU) No </w:t>
      </w:r>
      <w:r w:rsidRPr="00A5469A">
        <w:rPr>
          <w:rFonts w:ascii="Times New Roman" w:eastAsia="MS Mincho" w:hAnsi="Times New Roman" w:cs="Times New Roman"/>
          <w:noProof/>
          <w:sz w:val="22"/>
          <w:szCs w:val="22"/>
          <w:lang w:val="en-GB" w:eastAsia="ja-JP"/>
        </w:rPr>
        <w:t xml:space="preserve">236/2014 </w:t>
      </w:r>
      <w:r w:rsidRPr="00A5469A">
        <w:rPr>
          <w:rFonts w:ascii="Times New Roman" w:eastAsia="Calibri" w:hAnsi="Times New Roman" w:cs="Times New Roman"/>
          <w:bCs/>
          <w:sz w:val="22"/>
          <w:szCs w:val="22"/>
        </w:rPr>
        <w:t xml:space="preserve">establishing common rules and procedures for the implementation of the Union's instruments for external action (CIR) </w:t>
      </w:r>
      <w:r w:rsidRPr="00A5469A">
        <w:rPr>
          <w:rFonts w:ascii="Times New Roman" w:hAnsi="Times New Roman" w:cs="Times New Roman"/>
          <w:sz w:val="22"/>
          <w:szCs w:val="22"/>
          <w:lang w:val="en-GB"/>
        </w:rPr>
        <w:t>for the applicable instrument under which the contract is financed (see also heading 22 below)</w:t>
      </w:r>
      <w:r w:rsidRPr="00A5469A">
        <w:rPr>
          <w:rFonts w:ascii="Times New Roman" w:eastAsia="Calibri" w:hAnsi="Times New Roman" w:cs="Times New Roman"/>
          <w:sz w:val="22"/>
          <w:szCs w:val="22"/>
        </w:rPr>
        <w:t xml:space="preserve">. </w:t>
      </w:r>
      <w:r w:rsidRPr="00A5469A">
        <w:rPr>
          <w:rFonts w:ascii="Times New Roman" w:hAnsi="Times New Roman" w:cs="Times New Roman"/>
          <w:sz w:val="22"/>
          <w:szCs w:val="22"/>
          <w:lang w:val="en-GB"/>
        </w:rPr>
        <w:t>Participation is also open to international organisations.</w:t>
      </w:r>
      <w:bookmarkStart w:id="0" w:name="_DV_M201"/>
      <w:bookmarkEnd w:id="0"/>
    </w:p>
    <w:p w14:paraId="26929E38" w14:textId="77777777" w:rsidR="00A5469A" w:rsidRPr="00A5469A" w:rsidRDefault="00A5469A" w:rsidP="00A5469A">
      <w:pPr>
        <w:spacing w:after="360"/>
        <w:ind w:left="709" w:right="1"/>
        <w:jc w:val="both"/>
        <w:rPr>
          <w:rFonts w:ascii="Times New Roman" w:eastAsia="Calibri" w:hAnsi="Times New Roman" w:cs="Times New Roman"/>
          <w:b/>
          <w:noProof/>
          <w:sz w:val="22"/>
          <w:szCs w:val="22"/>
        </w:rPr>
      </w:pPr>
      <w:r w:rsidRPr="00A5469A">
        <w:rPr>
          <w:rFonts w:ascii="Times New Roman" w:hAnsi="Times New Roman" w:cs="Times New Roman"/>
          <w:b/>
          <w:sz w:val="22"/>
          <w:szCs w:val="22"/>
          <w:lang w:val="en-GB"/>
        </w:rPr>
        <w:t xml:space="preserve">All supplies under this contract may </w:t>
      </w:r>
      <w:r w:rsidRPr="00A5469A">
        <w:rPr>
          <w:rFonts w:ascii="Times New Roman" w:eastAsia="Calibri" w:hAnsi="Times New Roman" w:cs="Times New Roman"/>
          <w:b/>
          <w:noProof/>
          <w:sz w:val="22"/>
          <w:szCs w:val="22"/>
        </w:rPr>
        <w:t>originate from any country.</w:t>
      </w:r>
    </w:p>
    <w:p w14:paraId="61CC7FFE" w14:textId="77777777" w:rsidR="00A5469A" w:rsidRPr="00A5469A" w:rsidRDefault="00A5469A" w:rsidP="00A5469A">
      <w:pPr>
        <w:pStyle w:val="Blockquote"/>
        <w:ind w:left="709" w:right="1"/>
        <w:jc w:val="both"/>
        <w:rPr>
          <w:sz w:val="22"/>
          <w:szCs w:val="22"/>
          <w:lang w:val="en-GB"/>
        </w:rPr>
      </w:pPr>
      <w:r w:rsidRPr="00A5469A">
        <w:rPr>
          <w:sz w:val="22"/>
          <w:szCs w:val="22"/>
          <w:lang w:val="en-GB"/>
        </w:rPr>
        <w:t>[</w:t>
      </w:r>
      <w:r w:rsidRPr="00A5469A">
        <w:rPr>
          <w:sz w:val="22"/>
          <w:szCs w:val="22"/>
        </w:rPr>
        <w:t xml:space="preserve">General budget of the Union for calls where the CIR does not apply (e.g. for IPA I), </w:t>
      </w:r>
      <w:r w:rsidRPr="00A5469A">
        <w:rPr>
          <w:sz w:val="22"/>
          <w:szCs w:val="22"/>
          <w:lang w:val="en-GB"/>
        </w:rPr>
        <w:t>Participation is open to all legal persons (participating either individually or in a grouping – consortium – of tenderers) which are established in a Member State of the European Union or in a country or territory of the regions covered and/or authorised by the specific instruments applicable to the programme under which the contract is financed (see item 22 below). All goods supplied under this contract must originate in one or more of these countries. Participation is also open to international organisations. Participation of natural persons is directly governed by the specific instruments applicable to the programme under which the contract is financed].</w:t>
      </w:r>
    </w:p>
    <w:p w14:paraId="7D570F35" w14:textId="77777777" w:rsidR="00A5469A" w:rsidRPr="00A5469A" w:rsidRDefault="00A5469A" w:rsidP="00A5469A">
      <w:pPr>
        <w:pStyle w:val="Blockquote"/>
        <w:ind w:left="709" w:right="1"/>
        <w:jc w:val="both"/>
        <w:rPr>
          <w:sz w:val="22"/>
          <w:szCs w:val="22"/>
          <w:lang w:val="en-GB"/>
        </w:rPr>
      </w:pPr>
      <w:r w:rsidRPr="00A5469A">
        <w:rPr>
          <w:sz w:val="22"/>
          <w:szCs w:val="22"/>
          <w:lang w:val="en-GB"/>
        </w:rPr>
        <w:t>[10</w:t>
      </w:r>
      <w:r w:rsidRPr="00A5469A">
        <w:rPr>
          <w:sz w:val="22"/>
          <w:szCs w:val="22"/>
          <w:vertAlign w:val="superscript"/>
          <w:lang w:val="en-GB"/>
        </w:rPr>
        <w:t xml:space="preserve">th </w:t>
      </w:r>
      <w:r w:rsidRPr="00A5469A">
        <w:rPr>
          <w:sz w:val="22"/>
          <w:szCs w:val="22"/>
          <w:lang w:val="en-GB"/>
        </w:rPr>
        <w:t>EDF/11</w:t>
      </w:r>
      <w:r w:rsidRPr="00A5469A">
        <w:rPr>
          <w:sz w:val="22"/>
          <w:szCs w:val="22"/>
          <w:vertAlign w:val="superscript"/>
          <w:lang w:val="en-GB"/>
        </w:rPr>
        <w:t>th</w:t>
      </w:r>
      <w:r w:rsidRPr="00A5469A">
        <w:rPr>
          <w:sz w:val="22"/>
          <w:szCs w:val="22"/>
          <w:lang w:val="en-GB"/>
        </w:rPr>
        <w:t xml:space="preserve"> EDF: Participation in tendering is open on equal terms to natural and legal persons (participating either individually or in a grouping – consortium – of tenderers) which are established in one of the Member States of the European Union, ACP States or in a country or territory authorised by the ACP-EC Partnership Agreement under which the contract is financed (see also item 22 below). Participation is also open to international organisations. All goods supplied under this contract must originate in these countries. </w:t>
      </w:r>
    </w:p>
    <w:p w14:paraId="0FEF5F97" w14:textId="77777777" w:rsidR="00A5469A" w:rsidRPr="00A5469A" w:rsidRDefault="00A5469A" w:rsidP="00A5469A">
      <w:pPr>
        <w:spacing w:before="240" w:after="360"/>
        <w:ind w:left="709" w:right="1"/>
        <w:jc w:val="both"/>
        <w:rPr>
          <w:rFonts w:ascii="Times New Roman" w:hAnsi="Times New Roman" w:cs="Times New Roman"/>
          <w:b/>
          <w:sz w:val="22"/>
          <w:szCs w:val="22"/>
        </w:rPr>
      </w:pPr>
      <w:r w:rsidRPr="00A5469A">
        <w:rPr>
          <w:rFonts w:ascii="Times New Roman" w:hAnsi="Times New Roman" w:cs="Times New Roman"/>
          <w:b/>
          <w:sz w:val="22"/>
          <w:szCs w:val="22"/>
          <w:lang w:val="en-GB"/>
        </w:rPr>
        <w:t xml:space="preserve">All supplies under this contract may </w:t>
      </w:r>
      <w:r w:rsidRPr="00A5469A">
        <w:rPr>
          <w:rFonts w:ascii="Times New Roman" w:eastAsia="Calibri" w:hAnsi="Times New Roman" w:cs="Times New Roman"/>
          <w:b/>
          <w:noProof/>
          <w:sz w:val="22"/>
          <w:szCs w:val="22"/>
        </w:rPr>
        <w:t>originate from any country.</w:t>
      </w:r>
    </w:p>
    <w:p w14:paraId="6D32D6BB" w14:textId="77777777" w:rsidR="00A5469A" w:rsidRPr="00A5469A" w:rsidRDefault="00A5469A" w:rsidP="00A5469A">
      <w:pPr>
        <w:ind w:left="709"/>
        <w:jc w:val="both"/>
        <w:rPr>
          <w:rFonts w:ascii="Times New Roman" w:eastAsia="Calibri" w:hAnsi="Times New Roman" w:cs="Times New Roman"/>
          <w:sz w:val="22"/>
          <w:szCs w:val="22"/>
          <w:lang w:val="en-GB" w:eastAsia="fr-BE"/>
        </w:rPr>
      </w:pPr>
      <w:r w:rsidRPr="00A5469A">
        <w:rPr>
          <w:rFonts w:ascii="Times New Roman" w:eastAsia="Calibri" w:hAnsi="Times New Roman" w:cs="Times New Roman"/>
          <w:iCs/>
          <w:sz w:val="22"/>
          <w:szCs w:val="22"/>
          <w:lang w:eastAsia="fr-BE"/>
        </w:rPr>
        <w:t>[</w:t>
      </w:r>
      <w:r w:rsidRPr="00A5469A">
        <w:rPr>
          <w:rFonts w:ascii="Times New Roman" w:eastAsia="Calibri" w:hAnsi="Times New Roman" w:cs="Times New Roman"/>
          <w:iCs/>
          <w:sz w:val="22"/>
          <w:szCs w:val="22"/>
          <w:lang w:val="en-IE" w:eastAsia="fr-BE"/>
        </w:rPr>
        <w:t>For commitments financed by a basic act under the 2014-2020 or previous MFFs, 11</w:t>
      </w:r>
      <w:r w:rsidRPr="00A5469A">
        <w:rPr>
          <w:rFonts w:ascii="Times New Roman" w:eastAsia="Calibri" w:hAnsi="Times New Roman" w:cs="Times New Roman"/>
          <w:iCs/>
          <w:sz w:val="22"/>
          <w:szCs w:val="22"/>
          <w:vertAlign w:val="superscript"/>
          <w:lang w:val="en-IE" w:eastAsia="fr-BE"/>
        </w:rPr>
        <w:t>th</w:t>
      </w:r>
      <w:r w:rsidRPr="00A5469A">
        <w:rPr>
          <w:rFonts w:ascii="Times New Roman" w:eastAsia="Calibri" w:hAnsi="Times New Roman" w:cs="Times New Roman"/>
          <w:iCs/>
          <w:sz w:val="22"/>
          <w:szCs w:val="22"/>
          <w:lang w:val="en-IE" w:eastAsia="fr-BE"/>
        </w:rPr>
        <w:t xml:space="preserve"> or previous EDF</w:t>
      </w:r>
      <w:r w:rsidRPr="00A5469A">
        <w:rPr>
          <w:rFonts w:ascii="Times New Roman" w:eastAsia="Calibri" w:hAnsi="Times New Roman" w:cs="Times New Roman"/>
          <w:b/>
          <w:bCs/>
          <w:iCs/>
          <w:sz w:val="22"/>
          <w:szCs w:val="22"/>
          <w:lang w:val="en-IE" w:eastAsia="fr-BE"/>
        </w:rPr>
        <w:t>:</w:t>
      </w:r>
    </w:p>
    <w:p w14:paraId="5264AA96" w14:textId="77777777" w:rsidR="00A5469A" w:rsidRPr="00A5469A" w:rsidRDefault="00A5469A" w:rsidP="00A5469A">
      <w:pPr>
        <w:ind w:left="709"/>
        <w:jc w:val="both"/>
        <w:rPr>
          <w:rFonts w:ascii="Times New Roman" w:hAnsi="Times New Roman" w:cs="Times New Roman"/>
          <w:sz w:val="22"/>
          <w:szCs w:val="22"/>
        </w:rPr>
      </w:pPr>
      <w:r w:rsidRPr="00A5469A">
        <w:rPr>
          <w:rFonts w:ascii="Times New Roman" w:hAnsi="Times New Roman" w:cs="Times New Roman"/>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7AF110A2" w14:textId="77777777" w:rsidR="00A5469A" w:rsidRPr="00A5469A" w:rsidRDefault="00A5469A" w:rsidP="00A5469A">
      <w:pPr>
        <w:ind w:left="709"/>
        <w:jc w:val="both"/>
        <w:rPr>
          <w:rFonts w:ascii="Times New Roman" w:hAnsi="Times New Roman" w:cs="Times New Roman"/>
          <w:sz w:val="22"/>
          <w:szCs w:val="22"/>
        </w:rPr>
      </w:pPr>
      <w:r w:rsidRPr="00A5469A">
        <w:rPr>
          <w:rFonts w:ascii="Times New Roman" w:hAnsi="Times New Roman" w:cs="Times New Roman"/>
          <w:sz w:val="22"/>
          <w:szCs w:val="22"/>
        </w:rPr>
        <w:t>* Agreement on the withdrawal of the United Kingdom of Great Britain and Northern Ireland from the European Union and the European Atomic Energy Community.</w:t>
      </w:r>
    </w:p>
    <w:p w14:paraId="0D181662" w14:textId="77777777" w:rsidR="00A5469A" w:rsidRPr="00A5469A" w:rsidRDefault="00A5469A" w:rsidP="00A5469A">
      <w:pPr>
        <w:ind w:left="709"/>
        <w:jc w:val="both"/>
        <w:rPr>
          <w:rFonts w:ascii="Times New Roman" w:hAnsi="Times New Roman" w:cs="Times New Roman"/>
          <w:sz w:val="22"/>
          <w:szCs w:val="22"/>
        </w:rPr>
      </w:pPr>
      <w:r w:rsidRPr="00A5469A">
        <w:rPr>
          <w:rFonts w:ascii="Times New Roman" w:hAnsi="Times New Roman" w:cs="Times New Roman"/>
          <w:sz w:val="22"/>
          <w:szCs w:val="22"/>
        </w:rPr>
        <w:t>** Regulation (EU) No 236/2014 of the European Parliament and of the Council of 11 March 2014 laying down common rules and procedures for the implementation of the Union's instruments for financing external action.</w:t>
      </w:r>
    </w:p>
    <w:p w14:paraId="701F6712" w14:textId="77777777" w:rsidR="00A5469A" w:rsidRPr="00A5469A" w:rsidRDefault="00A5469A" w:rsidP="00A5469A">
      <w:pPr>
        <w:ind w:left="720"/>
        <w:jc w:val="both"/>
        <w:rPr>
          <w:rFonts w:ascii="Times New Roman" w:hAnsi="Times New Roman" w:cs="Times New Roman"/>
          <w:sz w:val="22"/>
          <w:szCs w:val="22"/>
        </w:rPr>
      </w:pPr>
      <w:r w:rsidRPr="00A5469A">
        <w:rPr>
          <w:rFonts w:ascii="Times New Roman" w:hAnsi="Times New Roman" w:cs="Times New Roman"/>
          <w:sz w:val="22"/>
          <w:szCs w:val="22"/>
        </w:rPr>
        <w:t>*** Annex IV to the ACP-EU Partnership Agreement, as revised by Decision 1/2014 of the ACP-EU Council of Ministers (OJ L196/40, 3.7.2014)</w:t>
      </w:r>
    </w:p>
    <w:p w14:paraId="7FC20396" w14:textId="77777777" w:rsidR="00A5469A" w:rsidRPr="00A5469A" w:rsidRDefault="00A5469A" w:rsidP="00A5469A">
      <w:pPr>
        <w:ind w:left="709"/>
        <w:jc w:val="both"/>
        <w:rPr>
          <w:rFonts w:ascii="Times New Roman" w:eastAsia="Calibri" w:hAnsi="Times New Roman" w:cs="Times New Roman"/>
          <w:iCs/>
          <w:sz w:val="22"/>
          <w:szCs w:val="22"/>
          <w:lang w:val="en-GB" w:eastAsia="fr-BE"/>
        </w:rPr>
      </w:pPr>
      <w:r w:rsidRPr="00A5469A">
        <w:rPr>
          <w:rFonts w:ascii="Times New Roman" w:hAnsi="Times New Roman" w:cs="Times New Roman"/>
          <w:sz w:val="22"/>
          <w:szCs w:val="22"/>
        </w:rPr>
        <w:t>**** including the Overseas Countries and Territories having special relations with the United Kingdom, as laid down in Part Four and Annex II of the TFEU</w:t>
      </w:r>
      <w:r w:rsidRPr="00A5469A">
        <w:rPr>
          <w:rFonts w:ascii="Times New Roman" w:eastAsia="Calibri" w:hAnsi="Times New Roman" w:cs="Times New Roman"/>
          <w:iCs/>
          <w:sz w:val="22"/>
          <w:szCs w:val="22"/>
          <w:lang w:val="en-GB" w:eastAsia="fr-BE"/>
        </w:rPr>
        <w:t>]</w:t>
      </w:r>
    </w:p>
    <w:p w14:paraId="5110A0FB" w14:textId="77777777" w:rsidR="00A5469A" w:rsidRPr="00A5469A" w:rsidRDefault="00A5469A" w:rsidP="00A5469A">
      <w:pPr>
        <w:ind w:left="709"/>
        <w:jc w:val="both"/>
        <w:rPr>
          <w:rFonts w:ascii="Times New Roman" w:eastAsia="Calibri" w:hAnsi="Times New Roman" w:cs="Times New Roman"/>
          <w:iCs/>
          <w:sz w:val="22"/>
          <w:szCs w:val="22"/>
          <w:lang w:val="en-GB" w:eastAsia="fr-BE"/>
        </w:rPr>
      </w:pPr>
    </w:p>
    <w:p w14:paraId="05FC9108" w14:textId="1B9EBC12" w:rsidR="00A5469A" w:rsidRDefault="00A5469A" w:rsidP="00A5469A">
      <w:pPr>
        <w:ind w:left="709"/>
        <w:jc w:val="both"/>
        <w:rPr>
          <w:rFonts w:ascii="Times New Roman" w:eastAsia="Calibri" w:hAnsi="Times New Roman" w:cs="Times New Roman"/>
          <w:iCs/>
          <w:sz w:val="22"/>
          <w:szCs w:val="22"/>
          <w:lang w:val="en-GB" w:eastAsia="fr-BE"/>
        </w:rPr>
      </w:pPr>
    </w:p>
    <w:p w14:paraId="45549D33" w14:textId="77777777" w:rsidR="00A5469A" w:rsidRPr="00A5469A" w:rsidRDefault="00A5469A" w:rsidP="00A5469A">
      <w:pPr>
        <w:widowControl w:val="0"/>
        <w:numPr>
          <w:ilvl w:val="0"/>
          <w:numId w:val="7"/>
        </w:numPr>
        <w:tabs>
          <w:tab w:val="clear" w:pos="644"/>
          <w:tab w:val="num" w:pos="709"/>
        </w:tabs>
        <w:spacing w:before="100" w:after="100"/>
        <w:ind w:left="709" w:right="1"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lastRenderedPageBreak/>
        <w:t>Grounds for exclusion</w:t>
      </w:r>
    </w:p>
    <w:p w14:paraId="5A1F7755" w14:textId="77777777" w:rsidR="00A5469A" w:rsidRPr="00A5469A" w:rsidRDefault="00A5469A" w:rsidP="00A5469A">
      <w:pPr>
        <w:pStyle w:val="Blockquote"/>
        <w:ind w:left="709" w:right="1"/>
        <w:jc w:val="both"/>
        <w:rPr>
          <w:sz w:val="22"/>
          <w:szCs w:val="22"/>
          <w:lang w:val="en-GB"/>
        </w:rPr>
      </w:pPr>
      <w:r w:rsidRPr="00A5469A">
        <w:rPr>
          <w:sz w:val="22"/>
          <w:szCs w:val="22"/>
          <w:lang w:val="en-GB"/>
        </w:rPr>
        <w:t xml:space="preserve">Tenderers must submit a signed declaration, included in the tender form for a supply contract, to the effect that they are not in any of the situations listed in Section 2.6.10.1. </w:t>
      </w:r>
      <w:proofErr w:type="gramStart"/>
      <w:r w:rsidRPr="00A5469A">
        <w:rPr>
          <w:sz w:val="22"/>
          <w:szCs w:val="22"/>
          <w:lang w:val="en-GB"/>
        </w:rPr>
        <w:t>of</w:t>
      </w:r>
      <w:proofErr w:type="gramEnd"/>
      <w:r w:rsidRPr="00A5469A">
        <w:rPr>
          <w:sz w:val="22"/>
          <w:szCs w:val="22"/>
          <w:lang w:val="en-GB"/>
        </w:rPr>
        <w:t xml:space="preserve"> the practical guide.</w:t>
      </w:r>
    </w:p>
    <w:p w14:paraId="0431CE80" w14:textId="77777777" w:rsidR="00A5469A" w:rsidRPr="00A5469A" w:rsidRDefault="00A5469A" w:rsidP="00A5469A">
      <w:pPr>
        <w:pStyle w:val="Blockquote"/>
        <w:ind w:left="709" w:right="1"/>
        <w:jc w:val="both"/>
        <w:rPr>
          <w:b/>
          <w:i/>
          <w:sz w:val="22"/>
          <w:szCs w:val="22"/>
          <w:lang w:val="en-GB"/>
        </w:rPr>
      </w:pPr>
      <w:r w:rsidRPr="00A5469A">
        <w:rPr>
          <w:sz w:val="22"/>
          <w:szCs w:val="22"/>
          <w:lang w:val="en-GB"/>
        </w:rPr>
        <w:t xml:space="preserve">Tenderers included in the lists of EU restrictive measures (see Section 2.4. of the PRAG) at the moment of the award decision cannot be awarded the contract. </w:t>
      </w:r>
    </w:p>
    <w:p w14:paraId="05CBB715" w14:textId="77777777" w:rsidR="00A5469A" w:rsidRPr="00A5469A" w:rsidRDefault="00A5469A" w:rsidP="00A5469A">
      <w:pPr>
        <w:keepNext/>
        <w:keepLines/>
        <w:widowControl w:val="0"/>
        <w:numPr>
          <w:ilvl w:val="0"/>
          <w:numId w:val="7"/>
        </w:numPr>
        <w:tabs>
          <w:tab w:val="clear" w:pos="644"/>
          <w:tab w:val="num" w:pos="709"/>
        </w:tabs>
        <w:spacing w:before="100" w:after="100"/>
        <w:ind w:left="709" w:right="1"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Number of tenders</w:t>
      </w:r>
    </w:p>
    <w:p w14:paraId="733B450B" w14:textId="77777777" w:rsidR="00A5469A" w:rsidRPr="00A5469A" w:rsidRDefault="00A5469A" w:rsidP="00A5469A">
      <w:pPr>
        <w:snapToGrid w:val="0"/>
        <w:ind w:left="644" w:right="26"/>
        <w:jc w:val="both"/>
        <w:rPr>
          <w:rFonts w:ascii="Times New Roman" w:hAnsi="Times New Roman" w:cs="Times New Roman"/>
          <w:sz w:val="22"/>
          <w:szCs w:val="22"/>
          <w:lang w:val="en-GB"/>
        </w:rPr>
      </w:pPr>
      <w:r w:rsidRPr="00A5469A">
        <w:rPr>
          <w:rFonts w:ascii="Times New Roman" w:eastAsia="Calibri" w:hAnsi="Times New Roman" w:cs="Times New Roman"/>
          <w:sz w:val="22"/>
          <w:szCs w:val="22"/>
          <w:lang w:val="en-GB"/>
        </w:rPr>
        <w:t xml:space="preserve">The candidates may submit an application for one lot only, several lots or all of the lots, but only one application may be submitted per lot. </w:t>
      </w:r>
      <w:r w:rsidRPr="00A5469A">
        <w:rPr>
          <w:rFonts w:ascii="Times New Roman" w:hAnsi="Times New Roman" w:cs="Times New Roman"/>
          <w:sz w:val="22"/>
          <w:szCs w:val="22"/>
          <w:lang w:val="en-GB"/>
        </w:rPr>
        <w:t>Tenders for parts of a lot will not be considered. Tenderers may not submit a tender for a variant solution in addition to their tender for the supplies required in the tender dossier.</w:t>
      </w:r>
    </w:p>
    <w:p w14:paraId="30109018" w14:textId="77777777" w:rsidR="000161AE" w:rsidRDefault="000161AE" w:rsidP="00A5469A">
      <w:pPr>
        <w:snapToGrid w:val="0"/>
        <w:ind w:left="644" w:right="26"/>
        <w:jc w:val="both"/>
        <w:rPr>
          <w:rFonts w:ascii="Times New Roman" w:eastAsia="Calibri" w:hAnsi="Times New Roman" w:cs="Times New Roman"/>
          <w:sz w:val="22"/>
          <w:szCs w:val="22"/>
          <w:lang w:val="en-GB"/>
        </w:rPr>
      </w:pPr>
    </w:p>
    <w:p w14:paraId="43D49B7A" w14:textId="77777777" w:rsidR="00A5469A" w:rsidRPr="00A5469A" w:rsidRDefault="00A5469A" w:rsidP="00A5469A">
      <w:pPr>
        <w:snapToGrid w:val="0"/>
        <w:ind w:left="644" w:right="26"/>
        <w:jc w:val="both"/>
        <w:rPr>
          <w:rFonts w:ascii="Times New Roman" w:hAnsi="Times New Roman" w:cs="Times New Roman"/>
          <w:sz w:val="22"/>
          <w:szCs w:val="22"/>
          <w:lang w:val="en-GB"/>
        </w:rPr>
      </w:pPr>
      <w:r w:rsidRPr="00A5469A">
        <w:rPr>
          <w:rFonts w:ascii="Times New Roman" w:eastAsia="Calibri" w:hAnsi="Times New Roman" w:cs="Times New Roman"/>
          <w:sz w:val="22"/>
          <w:szCs w:val="22"/>
          <w:lang w:val="en-GB"/>
        </w:rPr>
        <w:t>Contracts will be awarded lot by lot and each lot will form a separate contract.</w:t>
      </w:r>
      <w:r w:rsidRPr="00A5469A">
        <w:rPr>
          <w:rFonts w:ascii="Times New Roman" w:eastAsia="Calibri" w:hAnsi="Times New Roman" w:cs="Times New Roman"/>
          <w:sz w:val="22"/>
          <w:szCs w:val="22"/>
        </w:rPr>
        <w:t xml:space="preserve">] </w:t>
      </w:r>
      <w:r w:rsidRPr="00A5469A">
        <w:rPr>
          <w:rFonts w:ascii="Times New Roman" w:hAnsi="Times New Roman" w:cs="Times New Roman"/>
          <w:sz w:val="22"/>
          <w:szCs w:val="22"/>
          <w:lang w:val="en-GB"/>
        </w:rPr>
        <w:t>Any tenderer may state in its tender that it would offer a discount in the event that its tender is accepted for more than one lot</w:t>
      </w:r>
    </w:p>
    <w:p w14:paraId="4E5D6120" w14:textId="77777777" w:rsidR="00A5469A" w:rsidRPr="00A5469A" w:rsidRDefault="00A5469A" w:rsidP="00A5469A">
      <w:pPr>
        <w:widowControl w:val="0"/>
        <w:numPr>
          <w:ilvl w:val="0"/>
          <w:numId w:val="7"/>
        </w:numPr>
        <w:tabs>
          <w:tab w:val="clear" w:pos="644"/>
          <w:tab w:val="num" w:pos="709"/>
        </w:tabs>
        <w:spacing w:before="100" w:after="100"/>
        <w:ind w:left="709" w:right="1"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Tender guarantee</w:t>
      </w:r>
    </w:p>
    <w:p w14:paraId="6F63DF3D" w14:textId="77777777" w:rsidR="00A5469A" w:rsidRPr="00A5469A" w:rsidRDefault="00A5469A" w:rsidP="00A5469A">
      <w:pPr>
        <w:pStyle w:val="Blockquote"/>
        <w:ind w:left="709" w:right="1"/>
        <w:jc w:val="both"/>
        <w:rPr>
          <w:sz w:val="22"/>
          <w:szCs w:val="22"/>
          <w:lang w:val="en-GB"/>
        </w:rPr>
      </w:pPr>
      <w:r w:rsidRPr="00A5469A">
        <w:t>No tender guarantee is required.</w:t>
      </w:r>
    </w:p>
    <w:p w14:paraId="65782676" w14:textId="77777777" w:rsidR="00A5469A" w:rsidRPr="00A5469A" w:rsidRDefault="00A5469A" w:rsidP="00A5469A">
      <w:pPr>
        <w:keepNext/>
        <w:keepLines/>
        <w:widowControl w:val="0"/>
        <w:numPr>
          <w:ilvl w:val="0"/>
          <w:numId w:val="7"/>
        </w:numPr>
        <w:tabs>
          <w:tab w:val="clear" w:pos="644"/>
          <w:tab w:val="num" w:pos="709"/>
        </w:tabs>
        <w:spacing w:before="100" w:after="100"/>
        <w:ind w:left="709" w:right="1"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Performance guarantee</w:t>
      </w:r>
    </w:p>
    <w:p w14:paraId="4D686E15" w14:textId="77777777" w:rsidR="00A5469A" w:rsidRPr="00A5469A" w:rsidRDefault="00A5469A" w:rsidP="00A5469A">
      <w:pPr>
        <w:spacing w:after="120"/>
        <w:ind w:left="709" w:right="1"/>
        <w:jc w:val="both"/>
        <w:rPr>
          <w:rFonts w:ascii="Times New Roman" w:hAnsi="Times New Roman" w:cs="Times New Roman"/>
          <w:color w:val="000000"/>
          <w:sz w:val="22"/>
          <w:szCs w:val="22"/>
          <w:lang w:val="en-GB"/>
        </w:rPr>
      </w:pPr>
      <w:r w:rsidRPr="00A5469A">
        <w:rPr>
          <w:rFonts w:ascii="Times New Roman" w:hAnsi="Times New Roman" w:cs="Times New Roman"/>
          <w:color w:val="000000"/>
          <w:sz w:val="22"/>
          <w:szCs w:val="22"/>
        </w:rPr>
        <w:t>No performance guarantee is required.</w:t>
      </w:r>
    </w:p>
    <w:p w14:paraId="3A540714"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Information meeting and/or site visit</w:t>
      </w:r>
    </w:p>
    <w:p w14:paraId="44A04FE0" w14:textId="77777777" w:rsidR="00A5469A" w:rsidRPr="00A5469A" w:rsidRDefault="00A5469A" w:rsidP="00A5469A">
      <w:pPr>
        <w:pStyle w:val="Blockquote"/>
        <w:ind w:left="709"/>
        <w:rPr>
          <w:sz w:val="22"/>
          <w:szCs w:val="22"/>
          <w:lang w:val="en-GB"/>
        </w:rPr>
      </w:pPr>
      <w:r w:rsidRPr="00A5469A">
        <w:rPr>
          <w:sz w:val="22"/>
          <w:szCs w:val="22"/>
          <w:lang w:val="en-GB"/>
        </w:rPr>
        <w:t>No information meeting is planned.</w:t>
      </w:r>
    </w:p>
    <w:p w14:paraId="55251466"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Tender validity</w:t>
      </w:r>
    </w:p>
    <w:p w14:paraId="0A8C6699" w14:textId="77777777" w:rsidR="00A5469A" w:rsidRPr="00A5469A" w:rsidRDefault="00A5469A" w:rsidP="00A5469A">
      <w:pPr>
        <w:pStyle w:val="Blockquote"/>
        <w:ind w:left="709" w:right="1"/>
        <w:jc w:val="both"/>
        <w:rPr>
          <w:sz w:val="22"/>
          <w:szCs w:val="22"/>
          <w:lang w:val="en-GB"/>
        </w:rPr>
      </w:pPr>
      <w:r w:rsidRPr="00A5469A">
        <w:rPr>
          <w:sz w:val="22"/>
          <w:szCs w:val="22"/>
          <w:lang w:val="en-GB"/>
        </w:rPr>
        <w:t xml:space="preserve">Tenders must remain valid for a period of 90 days after the deadline for submission of tenders. In exceptional circumstances, the contracting authority may, before the validity period expires, request that tenderers extend the validity of tenders for a specific period (see </w:t>
      </w:r>
      <w:proofErr w:type="spellStart"/>
      <w:r w:rsidRPr="00A5469A">
        <w:rPr>
          <w:sz w:val="22"/>
          <w:szCs w:val="22"/>
          <w:lang w:val="en-GB"/>
        </w:rPr>
        <w:t>para</w:t>
      </w:r>
      <w:proofErr w:type="spellEnd"/>
      <w:r w:rsidRPr="00A5469A">
        <w:rPr>
          <w:sz w:val="22"/>
          <w:szCs w:val="22"/>
          <w:lang w:val="en-GB"/>
        </w:rPr>
        <w:t xml:space="preserve"> 8.2 of the instructions to tenderers).</w:t>
      </w:r>
    </w:p>
    <w:p w14:paraId="4748B161"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Period of implementation of tasks</w:t>
      </w:r>
    </w:p>
    <w:p w14:paraId="4AC9C01D" w14:textId="77777777" w:rsidR="00A5469A" w:rsidRPr="00A5469A" w:rsidRDefault="00A5469A" w:rsidP="00A5469A">
      <w:pPr>
        <w:ind w:left="709"/>
        <w:rPr>
          <w:rFonts w:ascii="Times New Roman" w:hAnsi="Times New Roman" w:cs="Times New Roman"/>
          <w:lang w:val="en-GB"/>
        </w:rPr>
      </w:pPr>
      <w:r w:rsidRPr="00A5469A">
        <w:rPr>
          <w:rFonts w:ascii="Times New Roman" w:hAnsi="Times New Roman" w:cs="Times New Roman"/>
          <w:sz w:val="22"/>
        </w:rPr>
        <w:t>The deadline for the delivery of supplies is 30 days from contract signature.</w:t>
      </w:r>
      <w:r w:rsidRPr="00A5469A">
        <w:rPr>
          <w:rFonts w:ascii="Times New Roman" w:hAnsi="Times New Roman" w:cs="Times New Roman"/>
          <w:noProof/>
          <w:lang w:val="hr-BA" w:eastAsia="hr-BA"/>
        </w:rPr>
        <mc:AlternateContent>
          <mc:Choice Requires="wps">
            <w:drawing>
              <wp:anchor distT="0" distB="0" distL="114300" distR="114300" simplePos="0" relativeHeight="251659264" behindDoc="0" locked="0" layoutInCell="0" allowOverlap="1" wp14:anchorId="39C9D1B4" wp14:editId="0E7EC4BB">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DA5EC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fTVA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" o:allowincell="f" strokecolor="#d4d4d4" strokeweight="1.75pt">
                <v:shadow on="t" origin=".5,-.5" offset="0,-1pt"/>
              </v:line>
            </w:pict>
          </mc:Fallback>
        </mc:AlternateContent>
      </w:r>
    </w:p>
    <w:p w14:paraId="38DBE543" w14:textId="77777777" w:rsidR="00A5469A" w:rsidRPr="00A5469A" w:rsidRDefault="00A5469A" w:rsidP="00A5469A">
      <w:pPr>
        <w:ind w:left="360"/>
        <w:jc w:val="center"/>
        <w:rPr>
          <w:rStyle w:val="Strong"/>
          <w:rFonts w:ascii="Times New Roman" w:hAnsi="Times New Roman" w:cs="Times New Roman"/>
          <w:sz w:val="28"/>
          <w:szCs w:val="28"/>
          <w:lang w:val="en-GB"/>
        </w:rPr>
      </w:pPr>
    </w:p>
    <w:p w14:paraId="66F7152D" w14:textId="77777777" w:rsidR="00A5469A" w:rsidRPr="00A5469A" w:rsidRDefault="00A5469A" w:rsidP="00A5469A">
      <w:pPr>
        <w:ind w:left="360"/>
        <w:jc w:val="center"/>
        <w:rPr>
          <w:rStyle w:val="Strong"/>
          <w:rFonts w:ascii="Times New Roman" w:hAnsi="Times New Roman" w:cs="Times New Roman"/>
          <w:sz w:val="28"/>
          <w:szCs w:val="28"/>
          <w:lang w:val="en-GB"/>
        </w:rPr>
      </w:pPr>
      <w:r w:rsidRPr="00A5469A">
        <w:rPr>
          <w:rStyle w:val="Strong"/>
          <w:rFonts w:ascii="Times New Roman" w:hAnsi="Times New Roman" w:cs="Times New Roman"/>
          <w:sz w:val="28"/>
          <w:szCs w:val="28"/>
          <w:lang w:val="en-GB"/>
        </w:rPr>
        <w:t>SELECTION AND AWARD CRITERIA</w:t>
      </w:r>
    </w:p>
    <w:p w14:paraId="2FF45762" w14:textId="77777777" w:rsidR="00A5469A" w:rsidRPr="00A5469A" w:rsidRDefault="00A5469A" w:rsidP="00A5469A">
      <w:pPr>
        <w:widowControl w:val="0"/>
        <w:numPr>
          <w:ilvl w:val="0"/>
          <w:numId w:val="7"/>
        </w:numPr>
        <w:tabs>
          <w:tab w:val="clear" w:pos="644"/>
          <w:tab w:val="num" w:pos="709"/>
        </w:tabs>
        <w:spacing w:before="100" w:after="100"/>
        <w:ind w:left="709"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 xml:space="preserve">Selection criteria </w:t>
      </w:r>
    </w:p>
    <w:p w14:paraId="4BC923FE" w14:textId="77777777" w:rsidR="00A5469A" w:rsidRPr="00A5469A" w:rsidRDefault="00A5469A" w:rsidP="00A5469A">
      <w:pPr>
        <w:pStyle w:val="Blockquote"/>
        <w:ind w:left="709"/>
        <w:jc w:val="both"/>
        <w:rPr>
          <w:sz w:val="22"/>
          <w:szCs w:val="22"/>
          <w:lang w:val="en-GB"/>
        </w:rPr>
      </w:pPr>
      <w:r w:rsidRPr="00A5469A">
        <w:rPr>
          <w:sz w:val="22"/>
          <w:szCs w:val="22"/>
          <w:lang w:val="en-GB"/>
        </w:rPr>
        <w:t>The following selection criteria will be applied to tenderers. In the case of tenders submitted by a consortium, these selection criteria will be applied to the consortium as a whole</w:t>
      </w:r>
      <w:r w:rsidRPr="00A5469A">
        <w:t xml:space="preserve"> unless</w:t>
      </w:r>
      <w:r w:rsidRPr="00A5469A">
        <w:rPr>
          <w:sz w:val="22"/>
          <w:szCs w:val="22"/>
          <w:lang w:val="en-GB"/>
        </w:rPr>
        <w:t xml:space="preserve"> specified otherwise. The selection criteria will not be applied to natural persons and single-member companies when they are sub-contractors:</w:t>
      </w:r>
    </w:p>
    <w:p w14:paraId="7E76957F" w14:textId="77777777" w:rsidR="00A5469A" w:rsidRPr="006B055A" w:rsidRDefault="00A5469A" w:rsidP="00A5469A">
      <w:pPr>
        <w:pStyle w:val="Blockquote"/>
        <w:ind w:left="1134" w:right="357" w:hanging="284"/>
        <w:jc w:val="both"/>
        <w:rPr>
          <w:sz w:val="22"/>
          <w:szCs w:val="22"/>
          <w:lang w:val="en-GB"/>
        </w:rPr>
      </w:pPr>
      <w:r w:rsidRPr="00A5469A">
        <w:rPr>
          <w:sz w:val="22"/>
          <w:szCs w:val="22"/>
          <w:lang w:val="en-GB"/>
        </w:rPr>
        <w:t>1)</w:t>
      </w:r>
      <w:r w:rsidRPr="00A5469A">
        <w:rPr>
          <w:sz w:val="22"/>
          <w:szCs w:val="22"/>
          <w:lang w:val="en-GB"/>
        </w:rPr>
        <w:tab/>
      </w:r>
      <w:r w:rsidRPr="006B055A">
        <w:rPr>
          <w:sz w:val="22"/>
          <w:szCs w:val="22"/>
          <w:lang w:val="en-GB"/>
        </w:rPr>
        <w:t>Economic and financial capacity of tenderer</w:t>
      </w:r>
      <w:r w:rsidRPr="006B055A">
        <w:rPr>
          <w:i/>
          <w:sz w:val="22"/>
          <w:szCs w:val="22"/>
          <w:lang w:val="en-GB"/>
        </w:rPr>
        <w:t xml:space="preserve"> </w:t>
      </w:r>
      <w:r w:rsidRPr="006B055A">
        <w:rPr>
          <w:sz w:val="22"/>
          <w:szCs w:val="22"/>
          <w:lang w:val="en-GB"/>
        </w:rPr>
        <w:t xml:space="preserve">(based on </w:t>
      </w:r>
      <w:proofErr w:type="spellStart"/>
      <w:r w:rsidRPr="006B055A">
        <w:rPr>
          <w:sz w:val="22"/>
          <w:szCs w:val="22"/>
          <w:lang w:val="en-GB"/>
        </w:rPr>
        <w:t>i.a</w:t>
      </w:r>
      <w:proofErr w:type="spellEnd"/>
      <w:r w:rsidRPr="006B055A">
        <w:rPr>
          <w:sz w:val="22"/>
          <w:szCs w:val="22"/>
          <w:lang w:val="en-GB"/>
        </w:rPr>
        <w:t>. item 3 of the tender form for a supply contract). In case of tenderer being a public body, equivalent information should be provided. The reference period which will be taken into account will be the last three financial years for which accounts have been closed.</w:t>
      </w:r>
    </w:p>
    <w:p w14:paraId="26521B41" w14:textId="77777777" w:rsidR="00A5469A" w:rsidRPr="006B055A" w:rsidRDefault="00A5469A" w:rsidP="00A5469A">
      <w:pPr>
        <w:ind w:left="414" w:firstLine="720"/>
        <w:rPr>
          <w:rFonts w:ascii="Times New Roman" w:hAnsi="Times New Roman" w:cs="Times New Roman"/>
          <w:sz w:val="22"/>
          <w:szCs w:val="22"/>
        </w:rPr>
      </w:pPr>
      <w:r w:rsidRPr="006B055A">
        <w:rPr>
          <w:rFonts w:ascii="Times New Roman" w:hAnsi="Times New Roman" w:cs="Times New Roman"/>
          <w:sz w:val="22"/>
          <w:szCs w:val="22"/>
        </w:rPr>
        <w:lastRenderedPageBreak/>
        <w:t>The selection criteria for each tenderer are as follows:</w:t>
      </w:r>
    </w:p>
    <w:p w14:paraId="36EC58AB" w14:textId="243AA428" w:rsidR="00A5469A" w:rsidRPr="00690EC9" w:rsidRDefault="00A5469A" w:rsidP="00A5469A">
      <w:pPr>
        <w:pStyle w:val="Blockquote"/>
        <w:numPr>
          <w:ilvl w:val="0"/>
          <w:numId w:val="6"/>
        </w:numPr>
        <w:tabs>
          <w:tab w:val="num" w:pos="1560"/>
        </w:tabs>
        <w:ind w:left="1560" w:right="1" w:hanging="425"/>
        <w:jc w:val="both"/>
        <w:rPr>
          <w:sz w:val="22"/>
          <w:szCs w:val="22"/>
          <w:lang w:val="en-GB"/>
        </w:rPr>
      </w:pPr>
      <w:r w:rsidRPr="00690EC9">
        <w:rPr>
          <w:sz w:val="22"/>
          <w:szCs w:val="22"/>
          <w:lang w:val="en-GB"/>
        </w:rPr>
        <w:t>the average annual turnover of the tenderer must exceed</w:t>
      </w:r>
      <w:r w:rsidR="002B6E0E" w:rsidRPr="00690EC9">
        <w:rPr>
          <w:sz w:val="22"/>
          <w:szCs w:val="22"/>
          <w:lang w:val="en-GB"/>
        </w:rPr>
        <w:t xml:space="preserve"> its </w:t>
      </w:r>
      <w:r w:rsidR="00176203" w:rsidRPr="00690EC9">
        <w:rPr>
          <w:sz w:val="22"/>
          <w:szCs w:val="22"/>
          <w:lang w:val="en-GB"/>
        </w:rPr>
        <w:t>financial offer</w:t>
      </w:r>
    </w:p>
    <w:p w14:paraId="2412599C" w14:textId="77777777" w:rsidR="00A5469A" w:rsidRPr="00A5469A" w:rsidRDefault="00A5469A" w:rsidP="00A5469A">
      <w:pPr>
        <w:pStyle w:val="Blockquote"/>
        <w:ind w:left="1134" w:right="1" w:hanging="284"/>
        <w:jc w:val="both"/>
        <w:rPr>
          <w:sz w:val="22"/>
          <w:szCs w:val="22"/>
          <w:lang w:val="en-GB"/>
        </w:rPr>
      </w:pPr>
      <w:r w:rsidRPr="00A5469A">
        <w:rPr>
          <w:sz w:val="22"/>
          <w:szCs w:val="22"/>
          <w:lang w:val="en-GB"/>
        </w:rPr>
        <w:t>2)</w:t>
      </w:r>
      <w:r w:rsidRPr="00A5469A">
        <w:rPr>
          <w:sz w:val="22"/>
          <w:szCs w:val="22"/>
          <w:lang w:val="en-GB"/>
        </w:rPr>
        <w:tab/>
        <w:t xml:space="preserve">Professional capacity of tenderer (based on </w:t>
      </w:r>
      <w:proofErr w:type="spellStart"/>
      <w:r w:rsidRPr="00A5469A">
        <w:rPr>
          <w:sz w:val="22"/>
          <w:szCs w:val="22"/>
          <w:lang w:val="en-GB"/>
        </w:rPr>
        <w:t>i.a</w:t>
      </w:r>
      <w:proofErr w:type="spellEnd"/>
      <w:r w:rsidRPr="00A5469A">
        <w:rPr>
          <w:sz w:val="22"/>
          <w:szCs w:val="22"/>
          <w:lang w:val="en-GB"/>
        </w:rPr>
        <w:t>. items 4 and 5 of the tender form for a supply contract). The reference period which will be taken into account will be the last three years preceding the submission deadline.</w:t>
      </w:r>
    </w:p>
    <w:p w14:paraId="6F048611" w14:textId="77777777" w:rsidR="00A5469A" w:rsidRPr="00A5469A" w:rsidRDefault="00A5469A" w:rsidP="00A5469A">
      <w:pPr>
        <w:pStyle w:val="Blockquote"/>
        <w:numPr>
          <w:ilvl w:val="0"/>
          <w:numId w:val="5"/>
        </w:numPr>
        <w:tabs>
          <w:tab w:val="num" w:pos="1560"/>
        </w:tabs>
        <w:ind w:left="1560" w:right="1" w:hanging="425"/>
        <w:jc w:val="both"/>
        <w:rPr>
          <w:sz w:val="22"/>
          <w:szCs w:val="22"/>
          <w:lang w:val="en-GB"/>
        </w:rPr>
      </w:pPr>
      <w:r w:rsidRPr="00A5469A">
        <w:rPr>
          <w:sz w:val="22"/>
          <w:szCs w:val="22"/>
          <w:lang w:val="en-GB"/>
        </w:rPr>
        <w:t xml:space="preserve">at least 2 staff currently work for the tenderer in fields related to this contract; </w:t>
      </w:r>
    </w:p>
    <w:p w14:paraId="1B98368F" w14:textId="77777777" w:rsidR="00A5469A" w:rsidRPr="00A5469A" w:rsidRDefault="00A5469A" w:rsidP="00A5469A">
      <w:pPr>
        <w:pStyle w:val="Blockquote"/>
        <w:ind w:left="1134" w:right="1" w:hanging="284"/>
        <w:jc w:val="both"/>
        <w:rPr>
          <w:sz w:val="22"/>
          <w:szCs w:val="22"/>
          <w:lang w:val="en-GB"/>
        </w:rPr>
      </w:pPr>
      <w:r w:rsidRPr="00A5469A">
        <w:rPr>
          <w:sz w:val="22"/>
          <w:szCs w:val="22"/>
          <w:lang w:val="en-GB"/>
        </w:rPr>
        <w:t>3)</w:t>
      </w:r>
      <w:r w:rsidRPr="00A5469A">
        <w:rPr>
          <w:sz w:val="22"/>
          <w:szCs w:val="22"/>
          <w:lang w:val="en-GB"/>
        </w:rPr>
        <w:tab/>
        <w:t xml:space="preserve">Technical capacity of tenderer </w:t>
      </w:r>
      <w:r w:rsidRPr="00A5469A">
        <w:rPr>
          <w:i/>
          <w:sz w:val="22"/>
          <w:szCs w:val="22"/>
          <w:lang w:val="en-GB"/>
        </w:rPr>
        <w:t>(</w:t>
      </w:r>
      <w:r w:rsidRPr="00A5469A">
        <w:rPr>
          <w:sz w:val="22"/>
          <w:szCs w:val="22"/>
          <w:lang w:val="en-GB"/>
        </w:rPr>
        <w:t xml:space="preserve">based on </w:t>
      </w:r>
      <w:proofErr w:type="spellStart"/>
      <w:r w:rsidRPr="00A5469A">
        <w:rPr>
          <w:sz w:val="22"/>
          <w:szCs w:val="22"/>
          <w:lang w:val="en-GB"/>
        </w:rPr>
        <w:t>i.a</w:t>
      </w:r>
      <w:proofErr w:type="spellEnd"/>
      <w:r w:rsidRPr="00A5469A">
        <w:rPr>
          <w:sz w:val="22"/>
          <w:szCs w:val="22"/>
          <w:lang w:val="en-GB"/>
        </w:rPr>
        <w:t>. items 5 and 6 of the tender form for a supply contract). The reference period which will be taken into account will be the last three years preceding the submission deadline.</w:t>
      </w:r>
    </w:p>
    <w:p w14:paraId="3971D382" w14:textId="77777777" w:rsidR="00A5469A" w:rsidRPr="00A5469A" w:rsidRDefault="00A5469A" w:rsidP="00A5469A">
      <w:pPr>
        <w:pStyle w:val="Blockquote"/>
        <w:numPr>
          <w:ilvl w:val="0"/>
          <w:numId w:val="5"/>
        </w:numPr>
        <w:ind w:left="1494" w:right="1"/>
        <w:jc w:val="both"/>
        <w:rPr>
          <w:sz w:val="22"/>
          <w:szCs w:val="22"/>
          <w:lang w:val="en-GB"/>
        </w:rPr>
      </w:pPr>
      <w:r w:rsidRPr="00A5469A">
        <w:rPr>
          <w:sz w:val="22"/>
          <w:szCs w:val="22"/>
          <w:lang w:val="en-GB"/>
        </w:rPr>
        <w:t>The tenderer has delivered supplies under at least one contract[s] in field related to this contract which were implemented during the following period: three years.</w:t>
      </w:r>
    </w:p>
    <w:p w14:paraId="5ECBE79C" w14:textId="77777777" w:rsidR="00A5469A" w:rsidRPr="00A5469A" w:rsidRDefault="00A5469A" w:rsidP="00A5469A">
      <w:pPr>
        <w:pStyle w:val="Blockquote"/>
        <w:ind w:left="1134" w:right="1"/>
        <w:jc w:val="both"/>
        <w:rPr>
          <w:sz w:val="22"/>
          <w:szCs w:val="22"/>
        </w:rPr>
      </w:pPr>
      <w:r w:rsidRPr="00A5469A">
        <w:rPr>
          <w:sz w:val="22"/>
          <w:szCs w:val="22"/>
          <w:lang w:val="en-GB"/>
        </w:rPr>
        <w:t xml:space="preserve">This means that the contract the tenderer refers to could have been started or completed at any time during the indicated period but it does not necessarily have </w:t>
      </w:r>
      <w:proofErr w:type="gramStart"/>
      <w:r w:rsidRPr="00A5469A">
        <w:rPr>
          <w:sz w:val="22"/>
          <w:szCs w:val="22"/>
          <w:lang w:val="en-GB"/>
        </w:rPr>
        <w:t>to be started and completed during that period, nor implemented during the entire period</w:t>
      </w:r>
      <w:proofErr w:type="gramEnd"/>
      <w:r w:rsidRPr="00A5469A">
        <w:rPr>
          <w:sz w:val="22"/>
          <w:szCs w:val="22"/>
          <w:lang w:val="en-GB"/>
        </w:rPr>
        <w:t>.</w:t>
      </w:r>
      <w:r w:rsidRPr="00A5469A">
        <w:rPr>
          <w:sz w:val="22"/>
          <w:szCs w:val="22"/>
        </w:rPr>
        <w:t xml:space="preserve">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4F812D27" w14:textId="77777777" w:rsidR="00A5469A" w:rsidRPr="00A5469A" w:rsidRDefault="00A5469A" w:rsidP="00A5469A">
      <w:pPr>
        <w:pStyle w:val="Blockquote"/>
        <w:keepLines/>
        <w:ind w:left="1134" w:right="1"/>
        <w:jc w:val="both"/>
        <w:rPr>
          <w:sz w:val="22"/>
          <w:szCs w:val="22"/>
        </w:rPr>
      </w:pPr>
    </w:p>
    <w:p w14:paraId="29AE1712" w14:textId="77777777" w:rsidR="00A5469A" w:rsidRPr="00A5469A" w:rsidRDefault="00A5469A" w:rsidP="00A5469A">
      <w:pPr>
        <w:pStyle w:val="Blockquote"/>
        <w:keepLines/>
        <w:ind w:left="1134" w:right="1"/>
        <w:jc w:val="both"/>
        <w:rPr>
          <w:sz w:val="22"/>
          <w:szCs w:val="22"/>
          <w:lang w:val="en-GB"/>
        </w:rPr>
      </w:pPr>
      <w:r w:rsidRPr="00A5469A">
        <w:rPr>
          <w:sz w:val="22"/>
          <w:szCs w:val="22"/>
        </w:rPr>
        <w:t>Capacity-providing entities</w:t>
      </w:r>
      <w:r w:rsidRPr="00A5469A">
        <w:rPr>
          <w:sz w:val="22"/>
          <w:szCs w:val="22"/>
          <w:lang w:val="en-GB"/>
        </w:rPr>
        <w:t xml:space="preserve"> </w:t>
      </w:r>
    </w:p>
    <w:p w14:paraId="16B7E894" w14:textId="77777777" w:rsidR="00A5469A" w:rsidRPr="00A5469A" w:rsidRDefault="00A5469A" w:rsidP="00A5469A">
      <w:pPr>
        <w:pStyle w:val="Blockquote"/>
        <w:keepLines/>
        <w:ind w:left="1134" w:right="1"/>
        <w:jc w:val="both"/>
        <w:rPr>
          <w:sz w:val="22"/>
          <w:szCs w:val="22"/>
          <w:lang w:val="en-GB"/>
        </w:rPr>
      </w:pPr>
      <w:r w:rsidRPr="00A5469A">
        <w:rPr>
          <w:sz w:val="22"/>
          <w:szCs w:val="22"/>
          <w:lang w:val="en-GB"/>
        </w:rPr>
        <w:t xml:space="preserve">An economic operator may, where appropriate and for a particular contract, rely on the capacities of other entities, regardless of the legal nature of the links which it has with them. If the tenderer relies on other entities it must prove to the contracting authority that it will have at its disposal the resources necessary for performance of the contract by producing a </w:t>
      </w:r>
      <w:r w:rsidRPr="00A5469A">
        <w:rPr>
          <w:sz w:val="22"/>
          <w:szCs w:val="22"/>
        </w:rPr>
        <w:t xml:space="preserve">commitment </w:t>
      </w:r>
      <w:r w:rsidRPr="00A5469A">
        <w:rPr>
          <w:sz w:val="22"/>
          <w:szCs w:val="22"/>
          <w:lang w:val="en-GB"/>
        </w:rPr>
        <w:t>on the part of those entities to place those resources at its disposal. Such entities</w:t>
      </w:r>
      <w:r w:rsidRPr="00A5469A">
        <w:rPr>
          <w:sz w:val="22"/>
          <w:szCs w:val="22"/>
        </w:rPr>
        <w:t xml:space="preserve">, for instance the parent company of the economic operator, </w:t>
      </w:r>
      <w:r w:rsidRPr="00A5469A">
        <w:rPr>
          <w:sz w:val="22"/>
          <w:szCs w:val="22"/>
          <w:lang w:val="en-GB"/>
        </w:rPr>
        <w:t xml:space="preserve">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the tender in a separate document. Proof of the capacity will also have to be provided when requested by the contracting authority. </w:t>
      </w:r>
    </w:p>
    <w:p w14:paraId="286243D8" w14:textId="77777777" w:rsidR="00A5469A" w:rsidRPr="00A5469A" w:rsidRDefault="00A5469A" w:rsidP="00A5469A">
      <w:pPr>
        <w:pStyle w:val="Blockquote"/>
        <w:keepLines/>
        <w:ind w:left="1134" w:right="1"/>
        <w:jc w:val="both"/>
        <w:rPr>
          <w:sz w:val="22"/>
          <w:szCs w:val="22"/>
          <w:lang w:val="en-GB"/>
        </w:rPr>
      </w:pPr>
      <w:r w:rsidRPr="00A5469A">
        <w:rPr>
          <w:sz w:val="22"/>
          <w:szCs w:val="22"/>
          <w:lang w:val="en-GB"/>
        </w:rPr>
        <w:t>With regard to technical and professional criteria, a tenderer may only rely on the capacities of other entities where the latter will perform the tasks for which these capacities are required.</w:t>
      </w:r>
    </w:p>
    <w:p w14:paraId="5CD17348" w14:textId="77777777" w:rsidR="00A5469A" w:rsidRPr="00A5469A" w:rsidRDefault="00A5469A" w:rsidP="000161AE">
      <w:pPr>
        <w:pStyle w:val="Blockquote"/>
        <w:keepLines/>
        <w:spacing w:after="240"/>
        <w:ind w:left="1134" w:right="1"/>
        <w:jc w:val="both"/>
        <w:rPr>
          <w:sz w:val="22"/>
          <w:szCs w:val="22"/>
          <w:lang w:val="en-GB"/>
        </w:rPr>
      </w:pPr>
      <w:r w:rsidRPr="00A5469A">
        <w:rPr>
          <w:sz w:val="22"/>
          <w:szCs w:val="22"/>
          <w:lang w:val="en-GB"/>
        </w:rPr>
        <w:t xml:space="preserve">With regard to economic and financial criteria, the entities upon whose capacity the tenderer </w:t>
      </w:r>
      <w:proofErr w:type="gramStart"/>
      <w:r w:rsidRPr="00A5469A">
        <w:rPr>
          <w:sz w:val="22"/>
          <w:szCs w:val="22"/>
          <w:lang w:val="en-GB"/>
        </w:rPr>
        <w:t>relies,</w:t>
      </w:r>
      <w:proofErr w:type="gramEnd"/>
      <w:r w:rsidRPr="00A5469A">
        <w:rPr>
          <w:sz w:val="22"/>
          <w:szCs w:val="22"/>
          <w:lang w:val="en-GB"/>
        </w:rPr>
        <w:t xml:space="preserve"> become jointly and severally liable for the performance of the contract.</w:t>
      </w:r>
    </w:p>
    <w:p w14:paraId="6A408BBD" w14:textId="77777777" w:rsidR="00A5469A" w:rsidRPr="00A5469A" w:rsidRDefault="00A5469A" w:rsidP="00A5469A">
      <w:pPr>
        <w:widowControl w:val="0"/>
        <w:numPr>
          <w:ilvl w:val="0"/>
          <w:numId w:val="7"/>
        </w:numPr>
        <w:tabs>
          <w:tab w:val="clear" w:pos="644"/>
          <w:tab w:val="num" w:pos="709"/>
        </w:tabs>
        <w:spacing w:before="100" w:after="100"/>
        <w:ind w:left="709" w:right="1"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Award criteria</w:t>
      </w:r>
    </w:p>
    <w:p w14:paraId="493DB1CB" w14:textId="77777777" w:rsidR="00A5469A" w:rsidRPr="00A5469A" w:rsidRDefault="00A5469A" w:rsidP="00A5469A">
      <w:pPr>
        <w:pStyle w:val="Blockquote"/>
        <w:ind w:left="709" w:right="1"/>
        <w:jc w:val="both"/>
        <w:rPr>
          <w:sz w:val="22"/>
          <w:szCs w:val="22"/>
          <w:lang w:val="en-GB"/>
        </w:rPr>
      </w:pPr>
      <w:proofErr w:type="gramStart"/>
      <w:r w:rsidRPr="00A5469A">
        <w:rPr>
          <w:sz w:val="22"/>
          <w:szCs w:val="22"/>
          <w:lang w:val="en-GB"/>
        </w:rPr>
        <w:t>Price.</w:t>
      </w:r>
      <w:proofErr w:type="gramEnd"/>
    </w:p>
    <w:p w14:paraId="43FD6BCD" w14:textId="77777777" w:rsidR="000161AE" w:rsidRDefault="000161AE" w:rsidP="00A5469A">
      <w:pPr>
        <w:spacing w:before="360" w:after="120"/>
        <w:ind w:right="1"/>
        <w:jc w:val="center"/>
        <w:rPr>
          <w:rStyle w:val="Strong"/>
          <w:rFonts w:ascii="Times New Roman" w:hAnsi="Times New Roman" w:cs="Times New Roman"/>
          <w:sz w:val="28"/>
          <w:szCs w:val="28"/>
          <w:lang w:val="en-GB"/>
        </w:rPr>
      </w:pPr>
    </w:p>
    <w:p w14:paraId="5EDA944F" w14:textId="77777777" w:rsidR="00A5469A" w:rsidRPr="00A5469A" w:rsidRDefault="00A5469A" w:rsidP="000161AE">
      <w:pPr>
        <w:spacing w:before="480" w:after="240"/>
        <w:ind w:right="1"/>
        <w:jc w:val="center"/>
        <w:rPr>
          <w:rStyle w:val="Strong"/>
          <w:rFonts w:ascii="Times New Roman" w:hAnsi="Times New Roman" w:cs="Times New Roman"/>
          <w:sz w:val="28"/>
          <w:szCs w:val="28"/>
          <w:lang w:val="en-GB"/>
        </w:rPr>
      </w:pPr>
      <w:r w:rsidRPr="00A5469A">
        <w:rPr>
          <w:rFonts w:ascii="Times New Roman" w:hAnsi="Times New Roman" w:cs="Times New Roman"/>
          <w:noProof/>
          <w:lang w:val="hr-BA" w:eastAsia="hr-BA"/>
        </w:rPr>
        <mc:AlternateContent>
          <mc:Choice Requires="wps">
            <w:drawing>
              <wp:anchor distT="0" distB="0" distL="114300" distR="114300" simplePos="0" relativeHeight="251660288" behindDoc="0" locked="0" layoutInCell="0" allowOverlap="1" wp14:anchorId="304DE159" wp14:editId="36CADBA4">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378CC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pg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1GVvvvwrdR5aDPO4LzNLwDQX1Bj8nf&#10;BAZNBwpB3diYPx/Sh9V8Nc9H+Xi2GuVpVY0+rZf5aLbO7qfVpFouq+xXCJnlRSsY4ypodBmSLP+7&#10;JhzG9dze1zG5ViO5RT8zP4JYIOCFdGyq0EfnjtxpdtrYS7PBXETjYYbD4L09w/7tn2bxGw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GtZumB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r w:rsidRPr="00A5469A">
        <w:rPr>
          <w:rStyle w:val="Strong"/>
          <w:rFonts w:ascii="Times New Roman" w:hAnsi="Times New Roman" w:cs="Times New Roman"/>
          <w:sz w:val="28"/>
          <w:szCs w:val="28"/>
          <w:lang w:val="en-GB"/>
        </w:rPr>
        <w:t>TENDERING</w:t>
      </w:r>
    </w:p>
    <w:p w14:paraId="02787332" w14:textId="77777777" w:rsidR="00A5469A" w:rsidRPr="00A5469A" w:rsidRDefault="00A5469A" w:rsidP="000161AE">
      <w:pPr>
        <w:widowControl w:val="0"/>
        <w:numPr>
          <w:ilvl w:val="0"/>
          <w:numId w:val="7"/>
        </w:numPr>
        <w:tabs>
          <w:tab w:val="clear" w:pos="644"/>
          <w:tab w:val="num" w:pos="709"/>
        </w:tabs>
        <w:spacing w:before="100" w:after="120"/>
        <w:ind w:left="709" w:right="1" w:hanging="425"/>
        <w:outlineLvl w:val="0"/>
        <w:rPr>
          <w:rStyle w:val="Strong"/>
          <w:rFonts w:ascii="Times New Roman" w:hAnsi="Times New Roman" w:cs="Times New Roman"/>
          <w:lang w:val="en-GB"/>
        </w:rPr>
      </w:pPr>
      <w:r w:rsidRPr="00A5469A">
        <w:rPr>
          <w:rStyle w:val="Strong"/>
          <w:rFonts w:ascii="Times New Roman" w:hAnsi="Times New Roman" w:cs="Times New Roman"/>
          <w:lang w:val="en-GB"/>
        </w:rPr>
        <w:t>How to obtain the tender dossier</w:t>
      </w:r>
    </w:p>
    <w:p w14:paraId="61E7E621" w14:textId="77777777" w:rsidR="00A5469A" w:rsidRPr="00A5469A" w:rsidRDefault="00A5469A" w:rsidP="00A5469A">
      <w:pPr>
        <w:pStyle w:val="Blockquote"/>
        <w:ind w:left="709" w:right="1"/>
        <w:jc w:val="both"/>
        <w:rPr>
          <w:sz w:val="22"/>
          <w:szCs w:val="22"/>
          <w:lang w:val="en-GB"/>
        </w:rPr>
      </w:pPr>
      <w:r w:rsidRPr="00A5469A">
        <w:rPr>
          <w:sz w:val="22"/>
          <w:szCs w:val="22"/>
          <w:lang w:val="en-GB"/>
        </w:rPr>
        <w:t xml:space="preserve">The tender dossier is available from the following Internet address: </w:t>
      </w:r>
      <w:hyperlink r:id="rId8" w:history="1">
        <w:r w:rsidRPr="007E01C9">
          <w:rPr>
            <w:rStyle w:val="Hyperlink"/>
            <w:sz w:val="22"/>
            <w:szCs w:val="22"/>
            <w:lang w:val="en-GB"/>
          </w:rPr>
          <w:t>http://www.efsa.unsa.ba/ef/bs/javnenabavke</w:t>
        </w:r>
      </w:hyperlink>
      <w:r w:rsidRPr="007E01C9">
        <w:t>.</w:t>
      </w:r>
      <w:r w:rsidRPr="00A5469A">
        <w:rPr>
          <w:sz w:val="22"/>
          <w:szCs w:val="22"/>
          <w:lang w:val="en-GB"/>
        </w:rPr>
        <w:t xml:space="preserve"> The tender dossier is also available from the contracting authority. Tenders must be submitted using the standard tender form for a supply contract included in the tender dossier, whose format and instructions must be strictly observed.</w:t>
      </w:r>
    </w:p>
    <w:p w14:paraId="18747D33" w14:textId="77777777" w:rsidR="00A5469A" w:rsidRPr="00A5469A" w:rsidRDefault="00A5469A" w:rsidP="000161AE">
      <w:pPr>
        <w:spacing w:after="240"/>
        <w:ind w:left="709" w:right="1"/>
        <w:jc w:val="both"/>
        <w:rPr>
          <w:rFonts w:ascii="Times New Roman" w:hAnsi="Times New Roman" w:cs="Times New Roman"/>
          <w:sz w:val="22"/>
          <w:szCs w:val="22"/>
          <w:lang w:val="en-GB"/>
        </w:rPr>
      </w:pPr>
      <w:r w:rsidRPr="00A5469A">
        <w:rPr>
          <w:rFonts w:ascii="Times New Roman" w:hAnsi="Times New Roman" w:cs="Times New Roman"/>
          <w:sz w:val="22"/>
          <w:szCs w:val="22"/>
          <w:lang w:val="en-GB"/>
        </w:rPr>
        <w:t xml:space="preserve">Tenderers with questions regarding this tender should send them in writing to </w:t>
      </w:r>
      <w:r w:rsidRPr="00A5469A">
        <w:rPr>
          <w:rFonts w:ascii="Times New Roman" w:hAnsi="Times New Roman" w:cs="Times New Roman"/>
          <w:noProof/>
          <w:sz w:val="22"/>
          <w:szCs w:val="22"/>
          <w:lang w:val="hr-BA"/>
        </w:rPr>
        <w:t>Mevlida Pljevljak (</w:t>
      </w:r>
      <w:hyperlink r:id="rId9" w:history="1">
        <w:r w:rsidRPr="00A5469A">
          <w:rPr>
            <w:rStyle w:val="Hyperlink"/>
            <w:rFonts w:ascii="Times New Roman" w:hAnsi="Times New Roman" w:cs="Times New Roman"/>
            <w:noProof/>
            <w:sz w:val="22"/>
            <w:szCs w:val="22"/>
            <w:lang w:val="hr-BA"/>
          </w:rPr>
          <w:t>mevlida.pljevljak@efsa.unsa.ba</w:t>
        </w:r>
      </w:hyperlink>
      <w:r w:rsidRPr="00A5469A">
        <w:rPr>
          <w:rFonts w:ascii="Times New Roman" w:hAnsi="Times New Roman" w:cs="Times New Roman"/>
          <w:noProof/>
          <w:sz w:val="22"/>
          <w:szCs w:val="22"/>
          <w:lang w:val="hr-BA"/>
        </w:rPr>
        <w:t xml:space="preserve"> or Trg oslobođenja – Alija Izetbegović 1) (mentioning the publication reference shown in item 1) at the latest 14 days before the deadline for submission of tenders given in item 19. The contracting authority must reply t</w:t>
      </w:r>
      <w:r w:rsidRPr="007E01C9">
        <w:rPr>
          <w:rFonts w:ascii="Times New Roman" w:hAnsi="Times New Roman" w:cs="Times New Roman"/>
          <w:noProof/>
          <w:sz w:val="22"/>
          <w:szCs w:val="22"/>
          <w:lang w:val="hr-BA"/>
        </w:rPr>
        <w:t>o all tenderers' questions at the latest 7 days before the</w:t>
      </w:r>
      <w:r w:rsidRPr="007E01C9">
        <w:rPr>
          <w:rFonts w:ascii="Times New Roman" w:hAnsi="Times New Roman" w:cs="Times New Roman"/>
          <w:noProof/>
          <w:lang w:val="hr-BA"/>
        </w:rPr>
        <w:t xml:space="preserve"> </w:t>
      </w:r>
      <w:r w:rsidRPr="007E01C9">
        <w:rPr>
          <w:rFonts w:ascii="Times New Roman" w:hAnsi="Times New Roman" w:cs="Times New Roman"/>
          <w:noProof/>
          <w:sz w:val="22"/>
          <w:szCs w:val="22"/>
          <w:lang w:val="hr-BA"/>
        </w:rPr>
        <w:t>deadline for submission of tenders. Eventual</w:t>
      </w:r>
      <w:r w:rsidRPr="007E01C9">
        <w:rPr>
          <w:rFonts w:ascii="Times New Roman" w:hAnsi="Times New Roman" w:cs="Times New Roman"/>
          <w:sz w:val="22"/>
          <w:szCs w:val="22"/>
          <w:lang w:val="en-GB"/>
        </w:rPr>
        <w:t xml:space="preserve"> clarifications or minor changes to the tender dossier shall be published at the latest 7 days before the submission deadline on the website of the Contracting Authority </w:t>
      </w:r>
      <w:hyperlink r:id="rId10" w:history="1">
        <w:r w:rsidRPr="007E01C9">
          <w:rPr>
            <w:rStyle w:val="Hyperlink"/>
            <w:rFonts w:ascii="Times New Roman" w:hAnsi="Times New Roman" w:cs="Times New Roman"/>
            <w:sz w:val="22"/>
            <w:szCs w:val="22"/>
            <w:lang w:val="en-GB"/>
          </w:rPr>
          <w:t>http://www.efsa.unsa.ba/ef/bs/javnenabavke</w:t>
        </w:r>
      </w:hyperlink>
      <w:r w:rsidRPr="007E01C9">
        <w:rPr>
          <w:rStyle w:val="Hyperlink"/>
          <w:rFonts w:ascii="Times New Roman" w:hAnsi="Times New Roman" w:cs="Times New Roman"/>
          <w:sz w:val="22"/>
          <w:szCs w:val="22"/>
          <w:lang w:val="en-GB"/>
        </w:rPr>
        <w:t>.</w:t>
      </w:r>
      <w:r w:rsidRPr="00A5469A">
        <w:rPr>
          <w:rFonts w:ascii="Times New Roman" w:hAnsi="Times New Roman" w:cs="Times New Roman"/>
          <w:sz w:val="22"/>
          <w:szCs w:val="22"/>
          <w:lang w:val="en-GB"/>
        </w:rPr>
        <w:t xml:space="preserve"> </w:t>
      </w:r>
    </w:p>
    <w:p w14:paraId="47F3C5A6" w14:textId="77777777" w:rsidR="00A5469A" w:rsidRPr="00A5469A" w:rsidRDefault="00A5469A" w:rsidP="00A5469A">
      <w:pPr>
        <w:widowControl w:val="0"/>
        <w:numPr>
          <w:ilvl w:val="0"/>
          <w:numId w:val="7"/>
        </w:numPr>
        <w:tabs>
          <w:tab w:val="clear" w:pos="644"/>
          <w:tab w:val="num" w:pos="709"/>
        </w:tabs>
        <w:spacing w:before="100" w:after="100"/>
        <w:ind w:left="709" w:right="1" w:hanging="425"/>
        <w:jc w:val="both"/>
        <w:outlineLvl w:val="0"/>
        <w:rPr>
          <w:rStyle w:val="Strong"/>
          <w:rFonts w:ascii="Times New Roman" w:hAnsi="Times New Roman" w:cs="Times New Roman"/>
          <w:lang w:val="en-GB"/>
        </w:rPr>
      </w:pPr>
      <w:r w:rsidRPr="00A5469A">
        <w:rPr>
          <w:rStyle w:val="Strong"/>
          <w:rFonts w:ascii="Times New Roman" w:hAnsi="Times New Roman" w:cs="Times New Roman"/>
          <w:lang w:val="en-GB"/>
        </w:rPr>
        <w:t>Deadline for submission of tenders</w:t>
      </w:r>
    </w:p>
    <w:p w14:paraId="6DF24D04" w14:textId="77777777" w:rsidR="00A5469A" w:rsidRPr="000161AE" w:rsidRDefault="00A5469A" w:rsidP="000161AE">
      <w:pPr>
        <w:pStyle w:val="Blockquote"/>
        <w:ind w:left="680" w:right="28"/>
        <w:jc w:val="both"/>
        <w:rPr>
          <w:rStyle w:val="Emphasis"/>
          <w:i w:val="0"/>
          <w:sz w:val="22"/>
          <w:szCs w:val="22"/>
          <w:lang w:val="en-GB"/>
        </w:rPr>
      </w:pPr>
      <w:r w:rsidRPr="000161AE">
        <w:rPr>
          <w:rStyle w:val="Emphasis"/>
          <w:i w:val="0"/>
          <w:sz w:val="22"/>
          <w:szCs w:val="22"/>
          <w:lang w:val="en-GB"/>
        </w:rPr>
        <w:t>The tenderer's attention is drawn to the fact that there are two different systems for sending tenders: one is by post or private mail service, the other is by hand delivery.</w:t>
      </w:r>
    </w:p>
    <w:p w14:paraId="038178E2" w14:textId="77777777" w:rsidR="00A5469A" w:rsidRPr="000161AE" w:rsidRDefault="00A5469A" w:rsidP="000161AE">
      <w:pPr>
        <w:pStyle w:val="Blockquote"/>
        <w:ind w:left="680" w:right="28"/>
        <w:jc w:val="both"/>
        <w:rPr>
          <w:rStyle w:val="Emphasis"/>
          <w:i w:val="0"/>
          <w:sz w:val="22"/>
          <w:szCs w:val="22"/>
          <w:lang w:val="en-GB"/>
        </w:rPr>
      </w:pPr>
      <w:r w:rsidRPr="000161AE">
        <w:rPr>
          <w:rStyle w:val="Emphasis"/>
          <w:i w:val="0"/>
          <w:sz w:val="22"/>
          <w:szCs w:val="22"/>
          <w:lang w:val="en-GB"/>
        </w:rPr>
        <w:t>In the first case, the tender must be sent before the date and time limit for submission, as evidenced by the postmark or deposit slip</w:t>
      </w:r>
      <w:r w:rsidRPr="000161AE">
        <w:rPr>
          <w:rStyle w:val="FootnoteReference"/>
          <w:i/>
          <w:sz w:val="22"/>
          <w:szCs w:val="22"/>
          <w:lang w:val="en-GB"/>
        </w:rPr>
        <w:footnoteReference w:id="1"/>
      </w:r>
      <w:r w:rsidRPr="000161AE">
        <w:rPr>
          <w:rStyle w:val="Emphasis"/>
          <w:i w:val="0"/>
          <w:sz w:val="22"/>
          <w:szCs w:val="22"/>
          <w:lang w:val="en-GB"/>
        </w:rPr>
        <w:t>, but in the second case it is the acknowledgment of receipt given at the time of the delivery of the tender which will serve as proof.</w:t>
      </w:r>
    </w:p>
    <w:p w14:paraId="19073545" w14:textId="2AAF27F7" w:rsidR="00A5469A" w:rsidRPr="00A5469A" w:rsidRDefault="00A5469A" w:rsidP="00453088">
      <w:pPr>
        <w:pStyle w:val="Blockquote"/>
        <w:ind w:left="709" w:right="1"/>
        <w:jc w:val="both"/>
        <w:rPr>
          <w:noProof/>
          <w:sz w:val="22"/>
          <w:szCs w:val="22"/>
          <w:lang w:val="bs-Latn-BA"/>
        </w:rPr>
      </w:pPr>
      <w:r w:rsidRPr="00A5469A">
        <w:rPr>
          <w:sz w:val="22"/>
          <w:szCs w:val="22"/>
          <w:lang w:val="en-GB"/>
        </w:rPr>
        <w:t xml:space="preserve">The deadline for submission of tenders </w:t>
      </w:r>
      <w:r w:rsidRPr="00DD00DA">
        <w:rPr>
          <w:sz w:val="22"/>
          <w:szCs w:val="22"/>
          <w:lang w:val="en-GB"/>
        </w:rPr>
        <w:t xml:space="preserve">is until 11:00 hours (local time) </w:t>
      </w:r>
      <w:r w:rsidR="00453088" w:rsidRPr="00DD00DA">
        <w:rPr>
          <w:sz w:val="22"/>
          <w:lang w:val="en-GB"/>
        </w:rPr>
        <w:t>11</w:t>
      </w:r>
      <w:r w:rsidR="00453088" w:rsidRPr="00DD00DA">
        <w:rPr>
          <w:sz w:val="22"/>
          <w:vertAlign w:val="superscript"/>
          <w:lang w:val="en-GB"/>
        </w:rPr>
        <w:t>th</w:t>
      </w:r>
      <w:r w:rsidR="00453088" w:rsidRPr="00DD00DA">
        <w:rPr>
          <w:sz w:val="22"/>
          <w:lang w:val="en-GB"/>
        </w:rPr>
        <w:t xml:space="preserve"> June 2021 </w:t>
      </w:r>
      <w:r w:rsidRPr="00DD00DA">
        <w:rPr>
          <w:sz w:val="22"/>
          <w:lang w:val="en-GB"/>
        </w:rPr>
        <w:t>on</w:t>
      </w:r>
      <w:bookmarkStart w:id="1" w:name="_GoBack"/>
      <w:bookmarkEnd w:id="1"/>
      <w:r w:rsidRPr="00A5469A">
        <w:rPr>
          <w:sz w:val="22"/>
          <w:lang w:val="en-GB"/>
        </w:rPr>
        <w:t xml:space="preserve"> address School of Economics and Business Sarajevo</w:t>
      </w:r>
      <w:r w:rsidRPr="00A5469A">
        <w:rPr>
          <w:noProof/>
          <w:sz w:val="22"/>
          <w:lang w:val="bs-Latn-BA"/>
        </w:rPr>
        <w:t>/Ekonomski fakultet u Sarajevu, Trg oslobođenja – Alija Izetbegović 1, 71 000 Sarajevo.</w:t>
      </w:r>
    </w:p>
    <w:p w14:paraId="44935043" w14:textId="77777777" w:rsidR="00A5469A" w:rsidRPr="00A5469A" w:rsidRDefault="00A5469A" w:rsidP="00A5469A">
      <w:pPr>
        <w:pStyle w:val="Blockquote"/>
        <w:ind w:left="709" w:right="1"/>
        <w:jc w:val="both"/>
        <w:rPr>
          <w:sz w:val="22"/>
          <w:szCs w:val="22"/>
          <w:lang w:val="en-GB"/>
        </w:rPr>
      </w:pPr>
      <w:r w:rsidRPr="00A5469A">
        <w:rPr>
          <w:sz w:val="22"/>
          <w:szCs w:val="22"/>
          <w:lang w:val="en-GB"/>
        </w:rPr>
        <w:t>Any tender submitted to the contracting authority after this deadline will not be considered.</w:t>
      </w:r>
    </w:p>
    <w:p w14:paraId="627AFD05" w14:textId="77777777" w:rsidR="00A5469A" w:rsidRPr="00A5469A" w:rsidRDefault="00A5469A" w:rsidP="00A5469A">
      <w:pPr>
        <w:pStyle w:val="Blockquote"/>
        <w:ind w:left="709" w:right="26"/>
        <w:jc w:val="both"/>
        <w:rPr>
          <w:b/>
          <w:sz w:val="22"/>
          <w:szCs w:val="22"/>
          <w:lang w:val="en-GB"/>
        </w:rPr>
      </w:pPr>
      <w:r w:rsidRPr="00A5469A">
        <w:rPr>
          <w:b/>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23498B20" w14:textId="77777777" w:rsidR="00A5469A" w:rsidRPr="00A5469A" w:rsidRDefault="00A5469A" w:rsidP="00A5469A">
      <w:pPr>
        <w:ind w:left="709" w:right="26" w:hanging="349"/>
        <w:outlineLvl w:val="0"/>
        <w:rPr>
          <w:rFonts w:ascii="Times New Roman" w:hAnsi="Times New Roman" w:cs="Times New Roman"/>
          <w:lang w:val="en-GB"/>
        </w:rPr>
      </w:pPr>
      <w:r w:rsidRPr="00A5469A">
        <w:rPr>
          <w:rStyle w:val="Strong"/>
          <w:rFonts w:ascii="Times New Roman" w:hAnsi="Times New Roman" w:cs="Times New Roman"/>
          <w:sz w:val="22"/>
          <w:szCs w:val="22"/>
          <w:lang w:val="en-GB"/>
        </w:rPr>
        <w:tab/>
      </w:r>
      <w:r w:rsidRPr="00A5469A">
        <w:rPr>
          <w:rStyle w:val="Strong"/>
          <w:rFonts w:ascii="Times New Roman" w:hAnsi="Times New Roman" w:cs="Times New Roman"/>
          <w:lang w:val="en-GB"/>
        </w:rPr>
        <w:t>How tenders may be submitted</w:t>
      </w:r>
    </w:p>
    <w:p w14:paraId="576B0A17" w14:textId="77777777" w:rsidR="00A5469A" w:rsidRPr="00A5469A" w:rsidRDefault="00A5469A" w:rsidP="00A5469A">
      <w:pPr>
        <w:pStyle w:val="Blockquote"/>
        <w:ind w:left="709" w:right="26"/>
        <w:jc w:val="both"/>
        <w:rPr>
          <w:sz w:val="22"/>
          <w:szCs w:val="22"/>
          <w:lang w:val="en-GB"/>
        </w:rPr>
      </w:pPr>
      <w:r w:rsidRPr="00A5469A">
        <w:rPr>
          <w:sz w:val="22"/>
          <w:szCs w:val="22"/>
          <w:lang w:val="en-GB"/>
        </w:rPr>
        <w:t>Tenders must be submitted in English exclusively to the contracting authority in a sealed envelope:</w:t>
      </w:r>
    </w:p>
    <w:p w14:paraId="406EE86D" w14:textId="77777777" w:rsidR="00A5469A" w:rsidRPr="00A5469A" w:rsidRDefault="00A5469A" w:rsidP="00A5469A">
      <w:pPr>
        <w:widowControl w:val="0"/>
        <w:numPr>
          <w:ilvl w:val="0"/>
          <w:numId w:val="9"/>
        </w:numPr>
        <w:spacing w:before="100" w:after="100"/>
        <w:ind w:right="26"/>
        <w:jc w:val="both"/>
        <w:rPr>
          <w:rFonts w:ascii="Times New Roman" w:hAnsi="Times New Roman" w:cs="Times New Roman"/>
          <w:sz w:val="22"/>
          <w:szCs w:val="22"/>
          <w:lang w:val="en-GB"/>
        </w:rPr>
      </w:pPr>
      <w:r w:rsidRPr="00A5469A">
        <w:rPr>
          <w:rFonts w:ascii="Times New Roman" w:hAnsi="Times New Roman" w:cs="Times New Roman"/>
          <w:sz w:val="22"/>
          <w:szCs w:val="22"/>
          <w:lang w:val="en-GB"/>
        </w:rPr>
        <w:t>EITHER by post or by courier service, in which case the evidence shall be constituted by the postmark or the date of the deposit slip, to:</w:t>
      </w:r>
    </w:p>
    <w:p w14:paraId="79D76FCA" w14:textId="77777777" w:rsidR="00A5469A" w:rsidRPr="00A5469A" w:rsidRDefault="00A5469A" w:rsidP="00A5469A">
      <w:pPr>
        <w:ind w:left="720" w:right="26"/>
        <w:jc w:val="both"/>
        <w:rPr>
          <w:rFonts w:ascii="Times New Roman" w:hAnsi="Times New Roman" w:cs="Times New Roman"/>
          <w:sz w:val="22"/>
          <w:szCs w:val="22"/>
          <w:lang w:val="en-GB"/>
        </w:rPr>
      </w:pPr>
    </w:p>
    <w:p w14:paraId="58E8A28D" w14:textId="77777777" w:rsidR="00A5469A" w:rsidRPr="00A5469A" w:rsidRDefault="00A5469A" w:rsidP="00A5469A">
      <w:pPr>
        <w:pStyle w:val="Blockquote"/>
        <w:ind w:right="26"/>
        <w:jc w:val="center"/>
        <w:rPr>
          <w:rStyle w:val="Emphasis"/>
          <w:i w:val="0"/>
          <w:noProof/>
          <w:sz w:val="22"/>
          <w:szCs w:val="22"/>
          <w:lang w:val="hr-BA"/>
        </w:rPr>
      </w:pPr>
      <w:r w:rsidRPr="00A5469A">
        <w:rPr>
          <w:rStyle w:val="Emphasis"/>
          <w:noProof/>
          <w:sz w:val="22"/>
          <w:szCs w:val="22"/>
          <w:lang w:val="hr-BA"/>
        </w:rPr>
        <w:lastRenderedPageBreak/>
        <w:t>Ekonomski fakultet u Sarajevu</w:t>
      </w:r>
    </w:p>
    <w:p w14:paraId="6FB0D2F6" w14:textId="77777777" w:rsidR="00A5469A" w:rsidRPr="00A5469A" w:rsidRDefault="00A5469A" w:rsidP="00A5469A">
      <w:pPr>
        <w:pStyle w:val="Blockquote"/>
        <w:ind w:right="26"/>
        <w:jc w:val="center"/>
        <w:rPr>
          <w:rStyle w:val="Emphasis"/>
          <w:i w:val="0"/>
          <w:noProof/>
          <w:sz w:val="22"/>
          <w:szCs w:val="22"/>
          <w:lang w:val="hr-BA"/>
        </w:rPr>
      </w:pPr>
      <w:r w:rsidRPr="00A5469A">
        <w:rPr>
          <w:rStyle w:val="Emphasis"/>
          <w:noProof/>
          <w:sz w:val="22"/>
          <w:szCs w:val="22"/>
          <w:lang w:val="hr-BA"/>
        </w:rPr>
        <w:t>Trg oslobođenja – Alija Izetbegović 1,</w:t>
      </w:r>
    </w:p>
    <w:p w14:paraId="6D9A1C1A" w14:textId="77777777" w:rsidR="00A5469A" w:rsidRPr="00A5469A" w:rsidRDefault="00A5469A" w:rsidP="00A5469A">
      <w:pPr>
        <w:pStyle w:val="Blockquote"/>
        <w:ind w:right="26"/>
        <w:jc w:val="center"/>
        <w:rPr>
          <w:rStyle w:val="Emphasis"/>
          <w:i w:val="0"/>
          <w:noProof/>
          <w:sz w:val="22"/>
          <w:szCs w:val="22"/>
          <w:lang w:val="hr-BA"/>
        </w:rPr>
      </w:pPr>
      <w:r w:rsidRPr="00A5469A">
        <w:rPr>
          <w:rStyle w:val="Emphasis"/>
          <w:noProof/>
          <w:sz w:val="22"/>
          <w:szCs w:val="22"/>
          <w:lang w:val="hr-BA"/>
        </w:rPr>
        <w:t>71 000 Sarajevo</w:t>
      </w:r>
    </w:p>
    <w:p w14:paraId="4C3511A6" w14:textId="77777777" w:rsidR="00A5469A" w:rsidRPr="00A5469A" w:rsidRDefault="00A5469A" w:rsidP="00A5469A">
      <w:pPr>
        <w:pStyle w:val="Blockquote"/>
        <w:ind w:left="709" w:right="26"/>
        <w:jc w:val="center"/>
        <w:rPr>
          <w:sz w:val="22"/>
          <w:szCs w:val="22"/>
          <w:lang w:val="en-GB"/>
        </w:rPr>
      </w:pPr>
    </w:p>
    <w:p w14:paraId="2AF2DF0E" w14:textId="77777777" w:rsidR="00A5469A" w:rsidRPr="00A5469A" w:rsidRDefault="00A5469A" w:rsidP="00A5469A">
      <w:pPr>
        <w:widowControl w:val="0"/>
        <w:numPr>
          <w:ilvl w:val="0"/>
          <w:numId w:val="9"/>
        </w:numPr>
        <w:spacing w:before="100" w:after="100"/>
        <w:ind w:right="26"/>
        <w:jc w:val="both"/>
        <w:rPr>
          <w:rFonts w:ascii="Times New Roman" w:hAnsi="Times New Roman" w:cs="Times New Roman"/>
          <w:sz w:val="22"/>
          <w:szCs w:val="22"/>
          <w:lang w:val="en-GB"/>
        </w:rPr>
      </w:pPr>
      <w:r w:rsidRPr="00A5469A">
        <w:rPr>
          <w:rFonts w:ascii="Times New Roman" w:hAnsi="Times New Roman" w:cs="Times New Roman"/>
          <w:sz w:val="22"/>
          <w:szCs w:val="22"/>
          <w:lang w:val="en-GB"/>
        </w:rPr>
        <w:t xml:space="preserve">OR </w:t>
      </w:r>
      <w:r w:rsidRPr="00A5469A">
        <w:rPr>
          <w:rStyle w:val="Strong"/>
          <w:rFonts w:ascii="Times New Roman" w:hAnsi="Times New Roman" w:cs="Times New Roman"/>
          <w:sz w:val="22"/>
          <w:szCs w:val="22"/>
          <w:lang w:val="en-GB"/>
        </w:rPr>
        <w:t>hand delivere</w:t>
      </w:r>
      <w:r w:rsidRPr="00A5469A">
        <w:rPr>
          <w:rFonts w:ascii="Times New Roman" w:hAnsi="Times New Roman" w:cs="Times New Roman"/>
          <w:sz w:val="22"/>
          <w:szCs w:val="22"/>
          <w:lang w:val="en-GB"/>
        </w:rPr>
        <w:t>d by the participant in person or by an agent</w:t>
      </w:r>
      <w:r w:rsidRPr="00A5469A">
        <w:rPr>
          <w:rStyle w:val="Strong"/>
          <w:rFonts w:ascii="Times New Roman" w:hAnsi="Times New Roman" w:cs="Times New Roman"/>
          <w:sz w:val="22"/>
          <w:szCs w:val="22"/>
          <w:lang w:val="en-GB"/>
        </w:rPr>
        <w:t xml:space="preserve"> directly</w:t>
      </w:r>
      <w:r w:rsidRPr="00A5469A">
        <w:rPr>
          <w:rFonts w:ascii="Times New Roman" w:hAnsi="Times New Roman" w:cs="Times New Roman"/>
          <w:sz w:val="22"/>
          <w:szCs w:val="22"/>
          <w:lang w:val="en-GB"/>
        </w:rPr>
        <w:t xml:space="preserve"> to the premises of the contracting authority in return for a </w:t>
      </w:r>
      <w:r w:rsidRPr="00A5469A">
        <w:rPr>
          <w:rStyle w:val="Strong"/>
          <w:rFonts w:ascii="Times New Roman" w:hAnsi="Times New Roman" w:cs="Times New Roman"/>
          <w:sz w:val="22"/>
          <w:szCs w:val="22"/>
          <w:lang w:val="en-GB"/>
        </w:rPr>
        <w:t>signed and dated receipt</w:t>
      </w:r>
      <w:r w:rsidRPr="00A5469A">
        <w:rPr>
          <w:rFonts w:ascii="Times New Roman" w:hAnsi="Times New Roman" w:cs="Times New Roman"/>
          <w:sz w:val="22"/>
          <w:szCs w:val="22"/>
          <w:lang w:val="en-GB"/>
        </w:rPr>
        <w:t>, in which case the evidence shall be constituted by this acknowledgement of receipt, to:</w:t>
      </w:r>
    </w:p>
    <w:p w14:paraId="4263D615" w14:textId="77777777" w:rsidR="00A5469A" w:rsidRPr="00A5469A" w:rsidRDefault="00A5469A" w:rsidP="00A5469A">
      <w:pPr>
        <w:ind w:left="720" w:right="26"/>
        <w:jc w:val="both"/>
        <w:rPr>
          <w:rFonts w:ascii="Times New Roman" w:hAnsi="Times New Roman" w:cs="Times New Roman"/>
          <w:sz w:val="22"/>
          <w:szCs w:val="22"/>
          <w:lang w:val="en-GB"/>
        </w:rPr>
      </w:pPr>
    </w:p>
    <w:p w14:paraId="0B18ADBD" w14:textId="77777777" w:rsidR="00A5469A" w:rsidRPr="00A5469A" w:rsidRDefault="00A5469A" w:rsidP="00A5469A">
      <w:pPr>
        <w:pStyle w:val="Blockquote"/>
        <w:ind w:right="26"/>
        <w:jc w:val="center"/>
        <w:rPr>
          <w:rStyle w:val="Emphasis"/>
          <w:i w:val="0"/>
          <w:noProof/>
          <w:sz w:val="22"/>
          <w:szCs w:val="22"/>
          <w:lang w:val="bs-Latn-BA"/>
        </w:rPr>
      </w:pPr>
      <w:r w:rsidRPr="00A5469A">
        <w:rPr>
          <w:rStyle w:val="Emphasis"/>
          <w:noProof/>
          <w:sz w:val="22"/>
          <w:szCs w:val="22"/>
          <w:lang w:val="bs-Latn-BA"/>
        </w:rPr>
        <w:t>Mevlida Pljevljak</w:t>
      </w:r>
    </w:p>
    <w:p w14:paraId="4CCDD16C" w14:textId="77777777" w:rsidR="00A5469A" w:rsidRPr="00A5469A" w:rsidRDefault="00A5469A" w:rsidP="00A5469A">
      <w:pPr>
        <w:pStyle w:val="Blockquote"/>
        <w:ind w:right="26"/>
        <w:jc w:val="center"/>
        <w:rPr>
          <w:rStyle w:val="Emphasis"/>
          <w:i w:val="0"/>
          <w:noProof/>
          <w:sz w:val="22"/>
          <w:szCs w:val="22"/>
          <w:lang w:val="bs-Latn-BA"/>
        </w:rPr>
      </w:pPr>
      <w:r w:rsidRPr="00A5469A">
        <w:rPr>
          <w:rStyle w:val="Emphasis"/>
          <w:noProof/>
          <w:sz w:val="22"/>
          <w:szCs w:val="22"/>
          <w:lang w:val="bs-Latn-BA"/>
        </w:rPr>
        <w:t>phone number: 033 253 795</w:t>
      </w:r>
      <w:r w:rsidRPr="00A5469A">
        <w:rPr>
          <w:rStyle w:val="Emphasis"/>
          <w:noProof/>
          <w:sz w:val="22"/>
          <w:szCs w:val="22"/>
          <w:highlight w:val="yellow"/>
          <w:lang w:val="bs-Latn-BA"/>
        </w:rPr>
        <w:br/>
      </w:r>
      <w:r w:rsidRPr="00A5469A">
        <w:rPr>
          <w:rStyle w:val="Emphasis"/>
          <w:noProof/>
          <w:sz w:val="22"/>
          <w:szCs w:val="22"/>
          <w:lang w:val="bs-Latn-BA"/>
        </w:rPr>
        <w:t>Ekonomski fakultet u Sarajevu</w:t>
      </w:r>
    </w:p>
    <w:p w14:paraId="0EE80B0E" w14:textId="77777777" w:rsidR="00A5469A" w:rsidRPr="00A5469A" w:rsidRDefault="00A5469A" w:rsidP="00A5469A">
      <w:pPr>
        <w:pStyle w:val="Blockquote"/>
        <w:ind w:right="26"/>
        <w:jc w:val="center"/>
        <w:rPr>
          <w:rStyle w:val="Emphasis"/>
          <w:i w:val="0"/>
          <w:noProof/>
          <w:sz w:val="22"/>
          <w:szCs w:val="22"/>
          <w:lang w:val="bs-Latn-BA"/>
        </w:rPr>
      </w:pPr>
      <w:r w:rsidRPr="00A5469A">
        <w:rPr>
          <w:rStyle w:val="Emphasis"/>
          <w:noProof/>
          <w:sz w:val="22"/>
          <w:szCs w:val="22"/>
          <w:lang w:val="bs-Latn-BA"/>
        </w:rPr>
        <w:t>Trg oslobođenja – Alija Izetbegović 1,</w:t>
      </w:r>
    </w:p>
    <w:p w14:paraId="76FCE45C" w14:textId="77777777" w:rsidR="00A5469A" w:rsidRPr="00A5469A" w:rsidRDefault="00A5469A" w:rsidP="00A5469A">
      <w:pPr>
        <w:pStyle w:val="Blockquote"/>
        <w:ind w:right="26"/>
        <w:jc w:val="center"/>
        <w:rPr>
          <w:rStyle w:val="Emphasis"/>
          <w:i w:val="0"/>
          <w:noProof/>
          <w:sz w:val="22"/>
          <w:szCs w:val="22"/>
          <w:lang w:val="bs-Latn-BA"/>
        </w:rPr>
      </w:pPr>
      <w:r w:rsidRPr="00A5469A">
        <w:rPr>
          <w:rStyle w:val="Emphasis"/>
          <w:noProof/>
          <w:sz w:val="22"/>
          <w:szCs w:val="22"/>
          <w:lang w:val="bs-Latn-BA"/>
        </w:rPr>
        <w:t>71 000 Sarajevo</w:t>
      </w:r>
    </w:p>
    <w:p w14:paraId="5ED19A2D" w14:textId="77777777" w:rsidR="00A5469A" w:rsidRPr="00A5469A" w:rsidRDefault="00A5469A" w:rsidP="00A5469A">
      <w:pPr>
        <w:pStyle w:val="Blockquote"/>
        <w:ind w:right="26"/>
        <w:jc w:val="center"/>
        <w:rPr>
          <w:noProof/>
          <w:sz w:val="22"/>
          <w:szCs w:val="22"/>
          <w:highlight w:val="yellow"/>
          <w:lang w:val="bs-Latn-BA"/>
        </w:rPr>
      </w:pPr>
      <w:r w:rsidRPr="00A5469A">
        <w:rPr>
          <w:rStyle w:val="Emphasis"/>
          <w:noProof/>
          <w:sz w:val="22"/>
          <w:szCs w:val="22"/>
          <w:lang w:val="bs-Latn-BA"/>
        </w:rPr>
        <w:t>Working hours: from 08:00 to 16:00</w:t>
      </w:r>
    </w:p>
    <w:p w14:paraId="2A149AD3" w14:textId="77777777" w:rsidR="00A5469A" w:rsidRPr="00A5469A" w:rsidRDefault="00A5469A" w:rsidP="00A5469A">
      <w:pPr>
        <w:pStyle w:val="Blockquote"/>
        <w:ind w:left="709" w:right="26"/>
        <w:jc w:val="both"/>
        <w:rPr>
          <w:sz w:val="22"/>
          <w:szCs w:val="22"/>
          <w:lang w:val="en-GB"/>
        </w:rPr>
      </w:pPr>
    </w:p>
    <w:p w14:paraId="73844865" w14:textId="77777777" w:rsidR="00A5469A" w:rsidRPr="00A5469A" w:rsidRDefault="00A5469A" w:rsidP="00A5469A">
      <w:pPr>
        <w:pStyle w:val="Blockquote"/>
        <w:ind w:left="709" w:right="26"/>
        <w:jc w:val="both"/>
        <w:rPr>
          <w:sz w:val="22"/>
          <w:szCs w:val="22"/>
          <w:lang w:val="en-GB"/>
        </w:rPr>
      </w:pPr>
      <w:r w:rsidRPr="00A5469A">
        <w:rPr>
          <w:sz w:val="22"/>
          <w:szCs w:val="22"/>
          <w:lang w:val="en-GB"/>
        </w:rPr>
        <w:t xml:space="preserve">The </w:t>
      </w:r>
      <w:r w:rsidRPr="00A5469A">
        <w:rPr>
          <w:rStyle w:val="Strong"/>
          <w:sz w:val="22"/>
          <w:szCs w:val="22"/>
          <w:lang w:val="en-GB"/>
        </w:rPr>
        <w:t>contract title</w:t>
      </w:r>
      <w:r w:rsidRPr="00A5469A">
        <w:rPr>
          <w:sz w:val="22"/>
          <w:szCs w:val="22"/>
          <w:lang w:val="en-GB"/>
        </w:rPr>
        <w:t xml:space="preserve"> and the </w:t>
      </w:r>
      <w:r w:rsidRPr="00A5469A">
        <w:rPr>
          <w:rStyle w:val="Strong"/>
          <w:sz w:val="22"/>
          <w:szCs w:val="22"/>
          <w:lang w:val="en-GB"/>
        </w:rPr>
        <w:t>Publication reference</w:t>
      </w:r>
      <w:r w:rsidRPr="00A5469A">
        <w:rPr>
          <w:sz w:val="22"/>
          <w:szCs w:val="22"/>
          <w:lang w:val="en-GB"/>
        </w:rPr>
        <w:t xml:space="preserve"> (see item 1 above) must be clearly marked on the envelope containing the tender and must always be mentioned in all subsequent correspondence with the contracting authority.</w:t>
      </w:r>
    </w:p>
    <w:p w14:paraId="34DA504A" w14:textId="77777777" w:rsidR="00A5469A" w:rsidRPr="00A5469A" w:rsidRDefault="00A5469A" w:rsidP="00A5469A">
      <w:pPr>
        <w:pStyle w:val="Blockquote"/>
        <w:ind w:left="709" w:right="26"/>
        <w:jc w:val="both"/>
        <w:rPr>
          <w:rStyle w:val="Strong"/>
          <w:b w:val="0"/>
          <w:sz w:val="22"/>
          <w:szCs w:val="22"/>
          <w:lang w:val="en-GB"/>
        </w:rPr>
      </w:pPr>
      <w:r w:rsidRPr="00A5469A">
        <w:rPr>
          <w:rStyle w:val="Strong"/>
          <w:sz w:val="22"/>
          <w:szCs w:val="22"/>
          <w:lang w:val="en-GB"/>
        </w:rPr>
        <w:t>Tenders submitted by any other means will not be considered.</w:t>
      </w:r>
    </w:p>
    <w:p w14:paraId="3646FBA1" w14:textId="77777777" w:rsidR="00A5469A" w:rsidRPr="00A5469A" w:rsidRDefault="00A5469A" w:rsidP="00A5469A">
      <w:pPr>
        <w:pStyle w:val="Blockquote"/>
        <w:ind w:left="709" w:right="26"/>
        <w:jc w:val="both"/>
        <w:rPr>
          <w:rStyle w:val="Strong"/>
          <w:b w:val="0"/>
          <w:sz w:val="22"/>
          <w:szCs w:val="22"/>
          <w:lang w:val="en-GB"/>
        </w:rPr>
      </w:pPr>
      <w:r w:rsidRPr="00A5469A">
        <w:rPr>
          <w:sz w:val="22"/>
          <w:szCs w:val="22"/>
        </w:rPr>
        <w:t>By submitting a tender candidates accept to receive notification of the outcome of the procedure by electronic means.</w:t>
      </w:r>
      <w:r w:rsidRPr="00A5469A">
        <w:t xml:space="preserve"> </w:t>
      </w:r>
      <w:r w:rsidRPr="00A5469A">
        <w:rPr>
          <w:sz w:val="22"/>
          <w:szCs w:val="22"/>
        </w:rPr>
        <w:t>Such notification shall be deemed to have been received on the date upon which the contracting authority sends it to the electronic address referred to in the tender.</w:t>
      </w:r>
    </w:p>
    <w:p w14:paraId="5C3013AC" w14:textId="77777777" w:rsidR="00A5469A" w:rsidRPr="00A5469A" w:rsidRDefault="00A5469A" w:rsidP="00A5469A">
      <w:pPr>
        <w:pStyle w:val="Blockquote"/>
        <w:ind w:left="709" w:right="1"/>
        <w:rPr>
          <w:sz w:val="22"/>
          <w:szCs w:val="22"/>
          <w:lang w:val="en-GB"/>
        </w:rPr>
      </w:pPr>
    </w:p>
    <w:p w14:paraId="3B6F9290" w14:textId="77777777" w:rsidR="00A5469A" w:rsidRPr="00A5469A" w:rsidRDefault="00A5469A" w:rsidP="00A5469A">
      <w:pPr>
        <w:widowControl w:val="0"/>
        <w:numPr>
          <w:ilvl w:val="0"/>
          <w:numId w:val="7"/>
        </w:numPr>
        <w:tabs>
          <w:tab w:val="clear" w:pos="644"/>
          <w:tab w:val="num" w:pos="709"/>
        </w:tabs>
        <w:spacing w:before="100" w:after="100"/>
        <w:ind w:left="709" w:right="1" w:hanging="425"/>
        <w:jc w:val="both"/>
        <w:outlineLvl w:val="0"/>
        <w:rPr>
          <w:rStyle w:val="Strong"/>
          <w:rFonts w:ascii="Times New Roman" w:hAnsi="Times New Roman" w:cs="Times New Roman"/>
          <w:lang w:val="en-GB"/>
        </w:rPr>
      </w:pPr>
      <w:r w:rsidRPr="00A5469A">
        <w:rPr>
          <w:rStyle w:val="Strong"/>
          <w:rFonts w:ascii="Times New Roman" w:hAnsi="Times New Roman" w:cs="Times New Roman"/>
          <w:lang w:val="en-GB"/>
        </w:rPr>
        <w:t>Tender opening session</w:t>
      </w:r>
    </w:p>
    <w:p w14:paraId="4256796D" w14:textId="22FF54DA" w:rsidR="00A5469A" w:rsidRPr="00A5469A" w:rsidRDefault="00A5469A" w:rsidP="00A5469A">
      <w:pPr>
        <w:pStyle w:val="Blockquote"/>
        <w:ind w:left="709" w:right="1"/>
        <w:jc w:val="both"/>
        <w:rPr>
          <w:sz w:val="22"/>
          <w:szCs w:val="22"/>
          <w:lang w:val="en-GB"/>
        </w:rPr>
      </w:pPr>
      <w:r w:rsidRPr="00A5469A">
        <w:rPr>
          <w:sz w:val="22"/>
          <w:szCs w:val="22"/>
          <w:lang w:val="en-GB"/>
        </w:rPr>
        <w:t xml:space="preserve">The tenders will be opened </w:t>
      </w:r>
      <w:r w:rsidR="00453088" w:rsidRPr="00DD00DA">
        <w:rPr>
          <w:sz w:val="22"/>
          <w:szCs w:val="22"/>
          <w:lang w:val="en-GB"/>
        </w:rPr>
        <w:t xml:space="preserve">on </w:t>
      </w:r>
      <w:r w:rsidR="00453088" w:rsidRPr="00DD00DA">
        <w:rPr>
          <w:sz w:val="22"/>
          <w:lang w:val="en-GB"/>
        </w:rPr>
        <w:t>15</w:t>
      </w:r>
      <w:r w:rsidR="00453088" w:rsidRPr="00DD00DA">
        <w:rPr>
          <w:sz w:val="22"/>
          <w:vertAlign w:val="superscript"/>
          <w:lang w:val="en-GB"/>
        </w:rPr>
        <w:t>th</w:t>
      </w:r>
      <w:r w:rsidR="00453088" w:rsidRPr="00DD00DA">
        <w:rPr>
          <w:sz w:val="22"/>
          <w:lang w:val="en-GB"/>
        </w:rPr>
        <w:t xml:space="preserve"> June 2021.</w:t>
      </w:r>
      <w:r w:rsidRPr="00DD00DA">
        <w:rPr>
          <w:sz w:val="22"/>
          <w:szCs w:val="22"/>
          <w:lang w:val="en-GB"/>
        </w:rPr>
        <w:t xml:space="preserve"> at 11:00 hours</w:t>
      </w:r>
      <w:r w:rsidRPr="00A5469A">
        <w:rPr>
          <w:sz w:val="22"/>
          <w:szCs w:val="22"/>
          <w:lang w:val="en-GB"/>
        </w:rPr>
        <w:t xml:space="preserve"> at School of Economics and      Business Sarajevo/</w:t>
      </w:r>
      <w:r w:rsidRPr="00A5469A">
        <w:rPr>
          <w:noProof/>
          <w:sz w:val="22"/>
          <w:szCs w:val="22"/>
          <w:lang w:val="bs-Latn-BA"/>
        </w:rPr>
        <w:t>Ekonomski fakultet u Sarajevu, Trg oslobođenja – Alija Izetbegović 1, 71</w:t>
      </w:r>
      <w:r w:rsidRPr="00A5469A">
        <w:rPr>
          <w:sz w:val="22"/>
          <w:szCs w:val="22"/>
          <w:lang w:val="en-GB"/>
        </w:rPr>
        <w:t xml:space="preserve"> 000 Sarajevo. </w:t>
      </w:r>
    </w:p>
    <w:p w14:paraId="0A7D1FA5" w14:textId="77777777" w:rsidR="00A5469A" w:rsidRPr="00A5469A" w:rsidRDefault="00A5469A" w:rsidP="00A5469A">
      <w:pPr>
        <w:ind w:left="709"/>
        <w:jc w:val="both"/>
        <w:rPr>
          <w:rFonts w:ascii="Times New Roman" w:hAnsi="Times New Roman" w:cs="Times New Roman"/>
          <w:sz w:val="22"/>
          <w:lang w:val="en-GB"/>
        </w:rPr>
      </w:pPr>
      <w:r w:rsidRPr="00A5469A">
        <w:rPr>
          <w:rFonts w:ascii="Times New Roman" w:hAnsi="Times New Roman" w:cs="Times New Roman"/>
          <w:sz w:val="22"/>
          <w:lang w:val="en-GB"/>
        </w:rPr>
        <w:t xml:space="preserve">In the case that at the date of the opening session </w:t>
      </w:r>
      <w:r w:rsidRPr="00A5469A">
        <w:rPr>
          <w:rFonts w:ascii="Times New Roman" w:hAnsi="Times New Roman" w:cs="Times New Roman"/>
          <w:sz w:val="22"/>
          <w:lang w:val="en-IE"/>
        </w:rPr>
        <w:t>some tenders have not been delivered to the contracting authority</w:t>
      </w:r>
      <w:r w:rsidRPr="00A5469A">
        <w:rPr>
          <w:rFonts w:ascii="Times New Roman" w:hAnsi="Times New Roman" w:cs="Times New Roman"/>
          <w:sz w:val="22"/>
          <w:lang w:val="en-GB"/>
        </w:rPr>
        <w:t xml:space="preserve"> but their representatives can show evidence that they have been sent on time, </w:t>
      </w:r>
      <w:r w:rsidRPr="00A5469A">
        <w:rPr>
          <w:rFonts w:ascii="Times New Roman" w:hAnsi="Times New Roman" w:cs="Times New Roman"/>
          <w:sz w:val="22"/>
          <w:lang w:val="en-IE"/>
        </w:rPr>
        <w:t>the contracting authority will</w:t>
      </w:r>
      <w:r w:rsidRPr="00A5469A">
        <w:rPr>
          <w:rFonts w:ascii="Times New Roman" w:hAnsi="Times New Roman" w:cs="Times New Roman"/>
          <w:sz w:val="22"/>
          <w:lang w:val="en-GB"/>
        </w:rPr>
        <w:t xml:space="preserve"> allow them to participate in the first opening session and inform all representatives of the tenderers that a second opening session will be organised.</w:t>
      </w:r>
    </w:p>
    <w:p w14:paraId="7D33B6A2" w14:textId="77777777" w:rsidR="00A5469A" w:rsidRPr="00A5469A" w:rsidRDefault="00A5469A" w:rsidP="00A5469A">
      <w:pPr>
        <w:widowControl w:val="0"/>
        <w:numPr>
          <w:ilvl w:val="0"/>
          <w:numId w:val="7"/>
        </w:numPr>
        <w:tabs>
          <w:tab w:val="clear" w:pos="644"/>
          <w:tab w:val="num" w:pos="709"/>
        </w:tabs>
        <w:spacing w:before="360" w:after="100"/>
        <w:ind w:left="709" w:right="1" w:hanging="425"/>
        <w:jc w:val="both"/>
        <w:outlineLvl w:val="0"/>
        <w:rPr>
          <w:rStyle w:val="Strong"/>
          <w:rFonts w:ascii="Times New Roman" w:hAnsi="Times New Roman" w:cs="Times New Roman"/>
          <w:lang w:val="en-GB"/>
        </w:rPr>
      </w:pPr>
      <w:r w:rsidRPr="00A5469A">
        <w:rPr>
          <w:rStyle w:val="Strong"/>
          <w:rFonts w:ascii="Times New Roman" w:hAnsi="Times New Roman" w:cs="Times New Roman"/>
          <w:lang w:val="en-GB"/>
        </w:rPr>
        <w:t>Language of the procedure</w:t>
      </w:r>
    </w:p>
    <w:p w14:paraId="43F25FCF" w14:textId="77777777" w:rsidR="00A5469A" w:rsidRPr="00A5469A" w:rsidRDefault="00A5469A" w:rsidP="00A5469A">
      <w:pPr>
        <w:pStyle w:val="Blockquote"/>
        <w:ind w:left="709" w:right="1"/>
        <w:jc w:val="both"/>
        <w:rPr>
          <w:i/>
          <w:sz w:val="22"/>
          <w:szCs w:val="22"/>
          <w:lang w:val="en-GB"/>
        </w:rPr>
      </w:pPr>
      <w:r w:rsidRPr="00A5469A">
        <w:rPr>
          <w:rStyle w:val="Emphasis"/>
          <w:sz w:val="22"/>
          <w:szCs w:val="22"/>
          <w:lang w:val="en-GB"/>
        </w:rPr>
        <w:t xml:space="preserve">All written communications for this tender procedure is in English, </w:t>
      </w:r>
      <w:r w:rsidRPr="00DD00DA">
        <w:rPr>
          <w:rStyle w:val="Emphasis"/>
          <w:sz w:val="22"/>
          <w:szCs w:val="22"/>
          <w:lang w:val="en-GB"/>
        </w:rPr>
        <w:t>while the contract will be created bilingually in English and Bosnian language.</w:t>
      </w:r>
      <w:r w:rsidRPr="00A5469A">
        <w:rPr>
          <w:rStyle w:val="Emphasis"/>
          <w:sz w:val="22"/>
          <w:szCs w:val="22"/>
          <w:lang w:val="en-GB"/>
        </w:rPr>
        <w:t xml:space="preserve"> </w:t>
      </w:r>
    </w:p>
    <w:p w14:paraId="445264E3" w14:textId="77777777" w:rsidR="00A5469A" w:rsidRPr="00A5469A" w:rsidRDefault="00A5469A" w:rsidP="00A5469A">
      <w:pPr>
        <w:widowControl w:val="0"/>
        <w:numPr>
          <w:ilvl w:val="0"/>
          <w:numId w:val="7"/>
        </w:numPr>
        <w:tabs>
          <w:tab w:val="clear" w:pos="644"/>
          <w:tab w:val="num" w:pos="709"/>
        </w:tabs>
        <w:spacing w:before="100" w:after="100"/>
        <w:ind w:left="709" w:right="1" w:hanging="425"/>
        <w:jc w:val="both"/>
        <w:outlineLvl w:val="0"/>
        <w:rPr>
          <w:rStyle w:val="Strong"/>
          <w:rFonts w:ascii="Times New Roman" w:hAnsi="Times New Roman" w:cs="Times New Roman"/>
          <w:lang w:val="en-GB"/>
        </w:rPr>
      </w:pPr>
      <w:r w:rsidRPr="00A5469A">
        <w:rPr>
          <w:rStyle w:val="Strong"/>
          <w:rFonts w:ascii="Times New Roman" w:hAnsi="Times New Roman" w:cs="Times New Roman"/>
          <w:lang w:val="en-GB"/>
        </w:rPr>
        <w:lastRenderedPageBreak/>
        <w:t>Legal basis</w:t>
      </w:r>
      <w:r w:rsidRPr="00A5469A">
        <w:rPr>
          <w:rStyle w:val="FootnoteReference"/>
          <w:rFonts w:ascii="Times New Roman" w:hAnsi="Times New Roman" w:cs="Times New Roman"/>
          <w:b/>
          <w:lang w:val="en-GB"/>
        </w:rPr>
        <w:footnoteReference w:id="2"/>
      </w:r>
    </w:p>
    <w:p w14:paraId="27F52664" w14:textId="77777777" w:rsidR="00A5469A" w:rsidRPr="00A5469A" w:rsidRDefault="00A5469A" w:rsidP="00A5469A">
      <w:pPr>
        <w:pStyle w:val="Blockquote"/>
        <w:spacing w:before="120" w:after="0"/>
        <w:ind w:left="644" w:right="1"/>
        <w:jc w:val="both"/>
        <w:rPr>
          <w:sz w:val="22"/>
          <w:szCs w:val="22"/>
        </w:rPr>
      </w:pPr>
      <w:r w:rsidRPr="00A5469A">
        <w:rPr>
          <w:sz w:val="22"/>
          <w:szCs w:val="22"/>
        </w:rPr>
        <w:t>[General budget of the Union: for calls where the CIR applies: Regulation</w:t>
      </w:r>
      <w:r w:rsidRPr="00A5469A">
        <w:rPr>
          <w:b/>
          <w:bCs/>
          <w:sz w:val="22"/>
          <w:szCs w:val="22"/>
        </w:rPr>
        <w:t xml:space="preserve"> </w:t>
      </w:r>
      <w:r w:rsidRPr="00A5469A">
        <w:rPr>
          <w:sz w:val="22"/>
          <w:szCs w:val="22"/>
        </w:rPr>
        <w:t>(EU) No </w:t>
      </w:r>
      <w:r w:rsidRPr="00A5469A">
        <w:rPr>
          <w:sz w:val="22"/>
          <w:szCs w:val="22"/>
          <w:lang w:eastAsia="ja-JP"/>
        </w:rPr>
        <w:t xml:space="preserve">236/2014 of the European Parliament and of the Council of 11 March 2014 laying down common rules and procedures for the implementation of the Union's instruments for financing external action and &lt;please introduce here the reference of the </w:t>
      </w:r>
      <w:r w:rsidRPr="00A5469A">
        <w:rPr>
          <w:sz w:val="22"/>
          <w:szCs w:val="22"/>
        </w:rPr>
        <w:t>regulation or other instrument under which this contract is to be financed (e.g. DCI, ENPI, ENI, Ifs) &gt; See Annex A2 of the practical guide]</w:t>
      </w:r>
    </w:p>
    <w:p w14:paraId="02CEA093" w14:textId="77777777" w:rsidR="00A5469A" w:rsidRPr="00A5469A" w:rsidRDefault="00A5469A" w:rsidP="00A5469A">
      <w:pPr>
        <w:pStyle w:val="Blockquote"/>
        <w:spacing w:before="120" w:after="0"/>
        <w:ind w:left="644" w:right="1"/>
        <w:jc w:val="both"/>
        <w:rPr>
          <w:sz w:val="22"/>
          <w:szCs w:val="22"/>
        </w:rPr>
      </w:pPr>
      <w:r w:rsidRPr="00A5469A">
        <w:rPr>
          <w:sz w:val="22"/>
          <w:szCs w:val="22"/>
        </w:rPr>
        <w:t>[General budget of the Union: for calls where the CIR does not apply (e.g. for IPA I):  Regulation or other instrument under which this contract is to be financed - See Annex A2 of the practical guide]</w:t>
      </w:r>
    </w:p>
    <w:p w14:paraId="4BF2DD80" w14:textId="77777777" w:rsidR="00A5469A" w:rsidRPr="00A5469A" w:rsidRDefault="00A5469A" w:rsidP="00A5469A">
      <w:pPr>
        <w:ind w:left="644" w:right="1"/>
        <w:jc w:val="both"/>
        <w:outlineLvl w:val="0"/>
        <w:rPr>
          <w:rFonts w:ascii="Times New Roman" w:hAnsi="Times New Roman" w:cs="Times New Roman"/>
          <w:sz w:val="22"/>
          <w:szCs w:val="22"/>
        </w:rPr>
      </w:pPr>
      <w:r w:rsidRPr="00A5469A">
        <w:rPr>
          <w:rFonts w:ascii="Times New Roman" w:hAnsi="Times New Roman" w:cs="Times New Roman"/>
          <w:sz w:val="22"/>
          <w:szCs w:val="22"/>
          <w:lang w:val="en-GB"/>
        </w:rPr>
        <w:t xml:space="preserve">[EDF: </w:t>
      </w:r>
      <w:r w:rsidRPr="00A5469A">
        <w:rPr>
          <w:rFonts w:ascii="Times New Roman" w:hAnsi="Times New Roman" w:cs="Times New Roman"/>
          <w:sz w:val="22"/>
          <w:szCs w:val="22"/>
        </w:rPr>
        <w:t xml:space="preserve">Annex IV to the Partnership Agreement between the members of the African, Caribbean and Pacific Group of States of the one part, and the European Community and its Member States, of the other part, signed in </w:t>
      </w:r>
      <w:r w:rsidRPr="00A5469A">
        <w:rPr>
          <w:rFonts w:ascii="Times New Roman" w:hAnsi="Times New Roman" w:cs="Times New Roman"/>
          <w:noProof/>
          <w:sz w:val="22"/>
          <w:szCs w:val="22"/>
          <w:lang w:val="hr-BA"/>
        </w:rPr>
        <w:t>Cotonou</w:t>
      </w:r>
      <w:r w:rsidRPr="00A5469A">
        <w:rPr>
          <w:rFonts w:ascii="Times New Roman" w:hAnsi="Times New Roman" w:cs="Times New Roman"/>
          <w:sz w:val="22"/>
          <w:szCs w:val="22"/>
        </w:rPr>
        <w:t xml:space="preserve"> on 23 June 2000 as amended in Luxembourg on 25 June 2005 and in Ouagadougou on 22 June 2010. Reference is made to Annex IV as revised by Decision 1/2014 of the ACP-EU Council of Ministers of 20 June 2014.]</w:t>
      </w:r>
    </w:p>
    <w:p w14:paraId="3F2856E3" w14:textId="77777777" w:rsidR="00A5469A" w:rsidRPr="00A5469A" w:rsidRDefault="00A5469A" w:rsidP="00A5469A">
      <w:pPr>
        <w:ind w:left="644" w:right="1"/>
        <w:jc w:val="both"/>
        <w:outlineLvl w:val="0"/>
        <w:rPr>
          <w:rFonts w:ascii="Times New Roman" w:hAnsi="Times New Roman" w:cs="Times New Roman"/>
          <w:sz w:val="22"/>
          <w:szCs w:val="22"/>
          <w:highlight w:val="lightGray"/>
          <w:lang w:val="en-GB"/>
        </w:rPr>
      </w:pPr>
    </w:p>
    <w:p w14:paraId="099A15B7" w14:textId="77777777" w:rsidR="00A5469A" w:rsidRPr="00A5469A" w:rsidRDefault="00A5469A" w:rsidP="00A5469A">
      <w:pPr>
        <w:widowControl w:val="0"/>
        <w:numPr>
          <w:ilvl w:val="0"/>
          <w:numId w:val="7"/>
        </w:numPr>
        <w:tabs>
          <w:tab w:val="clear" w:pos="644"/>
          <w:tab w:val="num" w:pos="709"/>
        </w:tabs>
        <w:spacing w:before="100" w:after="100"/>
        <w:ind w:left="709" w:right="1" w:hanging="425"/>
        <w:jc w:val="both"/>
        <w:outlineLvl w:val="0"/>
        <w:rPr>
          <w:rStyle w:val="Strong"/>
          <w:rFonts w:ascii="Times New Roman" w:hAnsi="Times New Roman" w:cs="Times New Roman"/>
          <w:lang w:val="en-GB"/>
        </w:rPr>
      </w:pPr>
      <w:r w:rsidRPr="00A5469A">
        <w:rPr>
          <w:rStyle w:val="Strong"/>
          <w:rFonts w:ascii="Times New Roman" w:hAnsi="Times New Roman" w:cs="Times New Roman"/>
          <w:lang w:val="en-GB"/>
        </w:rPr>
        <w:t>Additional information</w:t>
      </w:r>
    </w:p>
    <w:p w14:paraId="773FB963" w14:textId="77777777" w:rsidR="00A5469A" w:rsidRPr="00A5469A" w:rsidRDefault="00A5469A" w:rsidP="00A5469A">
      <w:pPr>
        <w:snapToGrid w:val="0"/>
        <w:ind w:left="644" w:right="360"/>
        <w:jc w:val="both"/>
        <w:rPr>
          <w:rFonts w:ascii="Times New Roman" w:hAnsi="Times New Roman" w:cs="Times New Roman"/>
          <w:sz w:val="22"/>
          <w:szCs w:val="22"/>
          <w:lang w:val="en-GB"/>
        </w:rPr>
      </w:pPr>
      <w:r w:rsidRPr="00A5469A">
        <w:rPr>
          <w:rFonts w:ascii="Times New Roman" w:hAnsi="Times New Roman" w:cs="Times New Roman"/>
          <w:sz w:val="22"/>
          <w:szCs w:val="22"/>
          <w:lang w:val="en-GB"/>
        </w:rPr>
        <w:t>Financial data to be provided by the tenderer in the standard tender form must be expressed in BAM (Bosnia and Herzegovina convertible marks).</w:t>
      </w:r>
    </w:p>
    <w:p w14:paraId="03F4DB58" w14:textId="66670671" w:rsidR="00A5469A" w:rsidRPr="006B055A" w:rsidRDefault="006B055A" w:rsidP="006B055A">
      <w:pPr>
        <w:tabs>
          <w:tab w:val="num" w:pos="284"/>
        </w:tabs>
        <w:ind w:left="630" w:right="1"/>
        <w:rPr>
          <w:rFonts w:ascii="Times New Roman" w:hAnsi="Times New Roman" w:cs="Times New Roman"/>
          <w:sz w:val="22"/>
          <w:szCs w:val="22"/>
          <w:lang w:val="en-GB"/>
        </w:rPr>
      </w:pPr>
      <w:r w:rsidRPr="006B055A">
        <w:rPr>
          <w:rFonts w:ascii="Times New Roman" w:hAnsi="Times New Roman" w:cs="Times New Roman"/>
          <w:sz w:val="22"/>
          <w:szCs w:val="22"/>
          <w:lang w:val="en-GB"/>
        </w:rPr>
        <w:t>This procurement is exempt from VAT payment with the confirmation IPA II MFT number: 10-17-1-4239-2/20.</w:t>
      </w:r>
    </w:p>
    <w:p w14:paraId="638F6E79" w14:textId="77777777" w:rsidR="00A5469A" w:rsidRPr="00F964EE" w:rsidRDefault="00A5469A" w:rsidP="00A5469A">
      <w:pPr>
        <w:tabs>
          <w:tab w:val="num" w:pos="284"/>
        </w:tabs>
        <w:ind w:left="720" w:right="1"/>
        <w:rPr>
          <w:sz w:val="22"/>
          <w:szCs w:val="22"/>
          <w:lang w:val="en-GB"/>
        </w:rPr>
      </w:pPr>
    </w:p>
    <w:p w14:paraId="33CD6FB7" w14:textId="77777777" w:rsidR="00341F62" w:rsidRPr="00A5469A" w:rsidRDefault="00341F62" w:rsidP="00A5469A"/>
    <w:sectPr w:rsidR="00341F62" w:rsidRPr="00A5469A" w:rsidSect="005766AE">
      <w:headerReference w:type="even" r:id="rId11"/>
      <w:headerReference w:type="default" r:id="rId12"/>
      <w:footerReference w:type="even" r:id="rId13"/>
      <w:footerReference w:type="default" r:id="rId14"/>
      <w:headerReference w:type="first" r:id="rId15"/>
      <w:footerReference w:type="first" r:id="rId16"/>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AB170" w14:textId="77777777" w:rsidR="00011C00" w:rsidRDefault="00011C00" w:rsidP="005766AE">
      <w:r>
        <w:separator/>
      </w:r>
    </w:p>
  </w:endnote>
  <w:endnote w:type="continuationSeparator" w:id="0">
    <w:p w14:paraId="65A8654A" w14:textId="77777777" w:rsidR="00011C00" w:rsidRDefault="00011C00"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0ABE" w14:textId="77777777" w:rsidR="003D17DD" w:rsidRDefault="003D1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6FA6" w14:textId="301382F3" w:rsidR="003D17DD" w:rsidRPr="003D17DD" w:rsidRDefault="003D17DD" w:rsidP="003D17DD">
    <w:pPr>
      <w:widowControl w:val="0"/>
      <w:tabs>
        <w:tab w:val="right" w:pos="9072"/>
      </w:tabs>
      <w:spacing w:before="100"/>
      <w:ind w:right="357"/>
      <w:rPr>
        <w:rFonts w:ascii="Times New Roman" w:eastAsia="Times New Roman" w:hAnsi="Times New Roman" w:cs="Times New Roman"/>
        <w:snapToGrid w:val="0"/>
        <w:sz w:val="20"/>
        <w:szCs w:val="20"/>
        <w:lang w:val="en-GB"/>
      </w:rPr>
    </w:pPr>
    <w:r>
      <w:rPr>
        <w:rFonts w:ascii="Times New Roman" w:eastAsia="Times New Roman" w:hAnsi="Times New Roman" w:cs="Times New Roman"/>
        <w:b/>
        <w:snapToGrid w:val="0"/>
        <w:sz w:val="20"/>
        <w:szCs w:val="20"/>
        <w:lang w:val="en-GB"/>
      </w:rPr>
      <w:t xml:space="preserve">         </w:t>
    </w:r>
    <w:r w:rsidRPr="003D17DD">
      <w:rPr>
        <w:rFonts w:ascii="Times New Roman" w:eastAsia="Times New Roman" w:hAnsi="Times New Roman" w:cs="Times New Roman"/>
        <w:snapToGrid w:val="0"/>
        <w:sz w:val="20"/>
        <w:szCs w:val="20"/>
        <w:lang w:val="en-GB"/>
      </w:rPr>
      <w:tab/>
      <w:t xml:space="preserve">Page </w:t>
    </w:r>
    <w:r w:rsidRPr="003D17DD">
      <w:rPr>
        <w:rFonts w:ascii="Times New Roman" w:eastAsia="Times New Roman" w:hAnsi="Times New Roman" w:cs="Times New Roman"/>
        <w:snapToGrid w:val="0"/>
        <w:sz w:val="20"/>
        <w:szCs w:val="20"/>
        <w:lang w:val="fr-BE"/>
      </w:rPr>
      <w:fldChar w:fldCharType="begin"/>
    </w:r>
    <w:r w:rsidRPr="003D17DD">
      <w:rPr>
        <w:rFonts w:ascii="Times New Roman" w:eastAsia="Times New Roman" w:hAnsi="Times New Roman" w:cs="Times New Roman"/>
        <w:snapToGrid w:val="0"/>
        <w:sz w:val="20"/>
        <w:szCs w:val="20"/>
        <w:lang w:val="en-GB"/>
      </w:rPr>
      <w:instrText xml:space="preserve"> PAGE </w:instrText>
    </w:r>
    <w:r w:rsidRPr="003D17DD">
      <w:rPr>
        <w:rFonts w:ascii="Times New Roman" w:eastAsia="Times New Roman" w:hAnsi="Times New Roman" w:cs="Times New Roman"/>
        <w:snapToGrid w:val="0"/>
        <w:sz w:val="20"/>
        <w:szCs w:val="20"/>
        <w:lang w:val="fr-BE"/>
      </w:rPr>
      <w:fldChar w:fldCharType="separate"/>
    </w:r>
    <w:r w:rsidR="00DD00DA">
      <w:rPr>
        <w:rFonts w:ascii="Times New Roman" w:eastAsia="Times New Roman" w:hAnsi="Times New Roman" w:cs="Times New Roman"/>
        <w:noProof/>
        <w:snapToGrid w:val="0"/>
        <w:sz w:val="20"/>
        <w:szCs w:val="20"/>
        <w:lang w:val="en-GB"/>
      </w:rPr>
      <w:t>7</w:t>
    </w:r>
    <w:r w:rsidRPr="003D17DD">
      <w:rPr>
        <w:rFonts w:ascii="Times New Roman" w:eastAsia="Times New Roman" w:hAnsi="Times New Roman" w:cs="Times New Roman"/>
        <w:snapToGrid w:val="0"/>
        <w:sz w:val="20"/>
        <w:szCs w:val="20"/>
        <w:lang w:val="fr-BE"/>
      </w:rPr>
      <w:fldChar w:fldCharType="end"/>
    </w:r>
    <w:r w:rsidRPr="003D17DD">
      <w:rPr>
        <w:rFonts w:ascii="Times New Roman" w:eastAsia="Times New Roman" w:hAnsi="Times New Roman" w:cs="Times New Roman"/>
        <w:snapToGrid w:val="0"/>
        <w:sz w:val="20"/>
        <w:szCs w:val="20"/>
        <w:lang w:val="en-GB"/>
      </w:rPr>
      <w:t xml:space="preserve"> </w:t>
    </w:r>
    <w:proofErr w:type="gramStart"/>
    <w:r w:rsidRPr="003D17DD">
      <w:rPr>
        <w:rFonts w:ascii="Times New Roman" w:eastAsia="Times New Roman" w:hAnsi="Times New Roman" w:cs="Times New Roman"/>
        <w:snapToGrid w:val="0"/>
        <w:sz w:val="20"/>
        <w:szCs w:val="20"/>
        <w:lang w:val="en-GB"/>
      </w:rPr>
      <w:t>of</w:t>
    </w:r>
    <w:r>
      <w:rPr>
        <w:rFonts w:ascii="Times New Roman" w:eastAsia="Times New Roman" w:hAnsi="Times New Roman" w:cs="Times New Roman"/>
        <w:snapToGrid w:val="0"/>
        <w:sz w:val="20"/>
        <w:szCs w:val="20"/>
        <w:lang w:val="en-GB"/>
      </w:rPr>
      <w:t xml:space="preserve"> </w:t>
    </w:r>
    <w:r w:rsidRPr="003D17DD">
      <w:rPr>
        <w:rFonts w:ascii="Times New Roman" w:eastAsia="Times New Roman" w:hAnsi="Times New Roman" w:cs="Times New Roman"/>
        <w:snapToGrid w:val="0"/>
        <w:sz w:val="20"/>
        <w:szCs w:val="20"/>
        <w:lang w:val="en-GB"/>
      </w:rPr>
      <w:t xml:space="preserve"> </w:t>
    </w:r>
    <w:proofErr w:type="gramEnd"/>
    <w:r w:rsidRPr="003D17DD">
      <w:rPr>
        <w:rFonts w:ascii="Times New Roman" w:eastAsia="Times New Roman" w:hAnsi="Times New Roman" w:cs="Times New Roman"/>
        <w:snapToGrid w:val="0"/>
        <w:sz w:val="20"/>
        <w:szCs w:val="20"/>
        <w:lang w:val="fr-BE"/>
      </w:rPr>
      <w:fldChar w:fldCharType="begin"/>
    </w:r>
    <w:r w:rsidRPr="003D17DD">
      <w:rPr>
        <w:rFonts w:ascii="Times New Roman" w:eastAsia="Times New Roman" w:hAnsi="Times New Roman" w:cs="Times New Roman"/>
        <w:snapToGrid w:val="0"/>
        <w:sz w:val="20"/>
        <w:szCs w:val="20"/>
        <w:lang w:val="en-GB"/>
      </w:rPr>
      <w:instrText xml:space="preserve"> NUMPAGES </w:instrText>
    </w:r>
    <w:r w:rsidRPr="003D17DD">
      <w:rPr>
        <w:rFonts w:ascii="Times New Roman" w:eastAsia="Times New Roman" w:hAnsi="Times New Roman" w:cs="Times New Roman"/>
        <w:snapToGrid w:val="0"/>
        <w:sz w:val="20"/>
        <w:szCs w:val="20"/>
        <w:lang w:val="fr-BE"/>
      </w:rPr>
      <w:fldChar w:fldCharType="separate"/>
    </w:r>
    <w:r w:rsidR="00DD00DA">
      <w:rPr>
        <w:rFonts w:ascii="Times New Roman" w:eastAsia="Times New Roman" w:hAnsi="Times New Roman" w:cs="Times New Roman"/>
        <w:noProof/>
        <w:snapToGrid w:val="0"/>
        <w:sz w:val="20"/>
        <w:szCs w:val="20"/>
        <w:lang w:val="en-GB"/>
      </w:rPr>
      <w:t>7</w:t>
    </w:r>
    <w:r w:rsidRPr="003D17DD">
      <w:rPr>
        <w:rFonts w:ascii="Times New Roman" w:eastAsia="Times New Roman" w:hAnsi="Times New Roman" w:cs="Times New Roman"/>
        <w:snapToGrid w:val="0"/>
        <w:sz w:val="20"/>
        <w:szCs w:val="20"/>
        <w:lang w:val="fr-BE"/>
      </w:rPr>
      <w:fldChar w:fldCharType="end"/>
    </w:r>
  </w:p>
  <w:p w14:paraId="45C2DA1E" w14:textId="130337FB" w:rsidR="003D17DD" w:rsidRPr="003D17DD" w:rsidRDefault="003D17DD" w:rsidP="003D17DD">
    <w:pPr>
      <w:widowControl w:val="0"/>
      <w:tabs>
        <w:tab w:val="right" w:pos="9275"/>
      </w:tabs>
      <w:spacing w:after="100"/>
      <w:ind w:right="357"/>
      <w:rPr>
        <w:rFonts w:ascii="Times New Roman" w:eastAsia="Times New Roman" w:hAnsi="Times New Roman" w:cs="Times New Roman"/>
        <w:snapToGrid w:val="0"/>
        <w:sz w:val="18"/>
        <w:szCs w:val="18"/>
        <w:lang w:val="en-US"/>
      </w:rPr>
    </w:pPr>
    <w:r>
      <w:rPr>
        <w:rFonts w:ascii="Times New Roman" w:eastAsia="Times New Roman" w:hAnsi="Times New Roman" w:cs="Times New Roman"/>
        <w:snapToGrid w:val="0"/>
        <w:sz w:val="18"/>
        <w:szCs w:val="18"/>
        <w:lang w:val="fr-BE"/>
      </w:rPr>
      <w:t xml:space="preserve">          </w:t>
    </w:r>
    <w:r w:rsidRPr="003D17DD">
      <w:rPr>
        <w:rFonts w:ascii="Times New Roman" w:eastAsia="Times New Roman" w:hAnsi="Times New Roman" w:cs="Times New Roman"/>
        <w:snapToGrid w:val="0"/>
        <w:sz w:val="18"/>
        <w:szCs w:val="18"/>
        <w:lang w:val="fr-BE"/>
      </w:rPr>
      <w:fldChar w:fldCharType="begin"/>
    </w:r>
    <w:r w:rsidRPr="003D17DD">
      <w:rPr>
        <w:rFonts w:ascii="Times New Roman" w:eastAsia="Times New Roman" w:hAnsi="Times New Roman" w:cs="Times New Roman"/>
        <w:snapToGrid w:val="0"/>
        <w:sz w:val="18"/>
        <w:szCs w:val="18"/>
        <w:lang w:val="en-GB"/>
      </w:rPr>
      <w:instrText xml:space="preserve"> FILENAME </w:instrText>
    </w:r>
    <w:r w:rsidRPr="003D17DD">
      <w:rPr>
        <w:rFonts w:ascii="Times New Roman" w:eastAsia="Times New Roman" w:hAnsi="Times New Roman" w:cs="Times New Roman"/>
        <w:snapToGrid w:val="0"/>
        <w:sz w:val="18"/>
        <w:szCs w:val="18"/>
        <w:lang w:val="fr-BE"/>
      </w:rPr>
      <w:fldChar w:fldCharType="separate"/>
    </w:r>
    <w:r w:rsidR="00453088">
      <w:rPr>
        <w:rFonts w:ascii="Times New Roman" w:eastAsia="Times New Roman" w:hAnsi="Times New Roman" w:cs="Times New Roman"/>
        <w:noProof/>
        <w:snapToGrid w:val="0"/>
        <w:sz w:val="18"/>
        <w:szCs w:val="18"/>
        <w:lang w:val="en-GB"/>
      </w:rPr>
      <w:t>A_Supply Contract Notice</w:t>
    </w:r>
    <w:r w:rsidRPr="003D17DD">
      <w:rPr>
        <w:rFonts w:ascii="Times New Roman" w:eastAsia="Times New Roman" w:hAnsi="Times New Roman" w:cs="Times New Roman"/>
        <w:snapToGrid w:val="0"/>
        <w:sz w:val="18"/>
        <w:szCs w:val="18"/>
        <w:lang w:val="fr-BE"/>
      </w:rPr>
      <w:fldChar w:fldCharType="end"/>
    </w:r>
    <w:r>
      <w:rPr>
        <w:rFonts w:ascii="Times New Roman" w:eastAsia="Times New Roman" w:hAnsi="Times New Roman" w:cs="Times New Roman"/>
        <w:snapToGrid w:val="0"/>
        <w:sz w:val="18"/>
        <w:szCs w:val="18"/>
        <w:lang w:val="fr-BE"/>
      </w:rPr>
      <w:tab/>
    </w:r>
  </w:p>
  <w:p w14:paraId="15F722F5" w14:textId="77777777" w:rsidR="006B055A" w:rsidRDefault="006B0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B899D" w14:textId="77777777" w:rsidR="003D17DD" w:rsidRDefault="003D1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AE9B2" w14:textId="77777777" w:rsidR="00011C00" w:rsidRDefault="00011C00" w:rsidP="005766AE">
      <w:r>
        <w:separator/>
      </w:r>
    </w:p>
  </w:footnote>
  <w:footnote w:type="continuationSeparator" w:id="0">
    <w:p w14:paraId="2CAB642C" w14:textId="77777777" w:rsidR="00011C00" w:rsidRDefault="00011C00" w:rsidP="005766AE">
      <w:r>
        <w:continuationSeparator/>
      </w:r>
    </w:p>
  </w:footnote>
  <w:footnote w:id="1">
    <w:p w14:paraId="1F58E0EC" w14:textId="77777777" w:rsidR="00A5469A" w:rsidRPr="00B50F3D" w:rsidRDefault="00A5469A" w:rsidP="00A5469A">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2FB97602" w14:textId="77777777" w:rsidR="00A5469A" w:rsidRPr="000F28BC" w:rsidRDefault="00A5469A" w:rsidP="00A5469A">
      <w:pPr>
        <w:pStyle w:val="FootnoteText"/>
        <w:rPr>
          <w:lang w:val="en-GB"/>
        </w:rPr>
      </w:pPr>
      <w:r>
        <w:rPr>
          <w:rStyle w:val="FootnoteReference"/>
        </w:rPr>
        <w:footnoteRef/>
      </w:r>
      <w:r>
        <w:t xml:space="preserve"> 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CE99" w14:textId="77777777" w:rsidR="005766AE" w:rsidRDefault="00011C00">
    <w:pPr>
      <w:pStyle w:val="Header"/>
    </w:pPr>
    <w:r>
      <w:rPr>
        <w:noProof/>
      </w:rPr>
      <w:pict w14:anchorId="52E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B800" w14:textId="77777777" w:rsidR="005766AE" w:rsidRDefault="00314108">
    <w:pPr>
      <w:pStyle w:val="Header"/>
    </w:pPr>
    <w:r>
      <w:rPr>
        <w:noProof/>
        <w:lang w:val="hr-BA" w:eastAsia="hr-BA"/>
      </w:rPr>
      <w:drawing>
        <wp:anchor distT="0" distB="0" distL="114300" distR="114300" simplePos="0" relativeHeight="251667456" behindDoc="1" locked="0" layoutInCell="1" allowOverlap="1" wp14:anchorId="16D20D8E" wp14:editId="135ECD8A">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011C00">
      <w:rPr>
        <w:noProof/>
      </w:rPr>
      <w:pict w14:anchorId="36FF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87B" w14:textId="77777777" w:rsidR="005766AE" w:rsidRDefault="00011C00">
    <w:pPr>
      <w:pStyle w:val="Header"/>
    </w:pPr>
    <w:r>
      <w:rPr>
        <w:noProof/>
      </w:rPr>
      <w:pict w14:anchorId="1394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CD60F6"/>
    <w:multiLevelType w:val="singleLevel"/>
    <w:tmpl w:val="04090001"/>
    <w:lvl w:ilvl="0">
      <w:start w:val="1"/>
      <w:numFmt w:val="bullet"/>
      <w:lvlText w:val=""/>
      <w:lvlJc w:val="left"/>
      <w:pPr>
        <w:ind w:left="720" w:hanging="360"/>
      </w:pPr>
      <w:rPr>
        <w:rFonts w:ascii="Symbol" w:hAnsi="Symbol" w:hint="default"/>
      </w:rPr>
    </w:lvl>
  </w:abstractNum>
  <w:num w:numId="1">
    <w:abstractNumId w:val="4"/>
  </w:num>
  <w:num w:numId="2">
    <w:abstractNumId w:val="7"/>
  </w:num>
  <w:num w:numId="3">
    <w:abstractNumId w:val="6"/>
  </w:num>
  <w:num w:numId="4">
    <w:abstractNumId w:val="2"/>
  </w:num>
  <w:num w:numId="5">
    <w:abstractNumId w:val="8"/>
  </w:num>
  <w:num w:numId="6">
    <w:abstractNumId w:val="1"/>
  </w:num>
  <w:num w:numId="7">
    <w:abstractNumId w:val="5"/>
  </w:num>
  <w:num w:numId="8">
    <w:abstractNumId w:val="3"/>
  </w:num>
  <w:num w:numId="9">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AE"/>
    <w:rsid w:val="00011C00"/>
    <w:rsid w:val="000161AE"/>
    <w:rsid w:val="0003592F"/>
    <w:rsid w:val="00154842"/>
    <w:rsid w:val="00176203"/>
    <w:rsid w:val="001D1082"/>
    <w:rsid w:val="001D2A96"/>
    <w:rsid w:val="002139ED"/>
    <w:rsid w:val="00231953"/>
    <w:rsid w:val="002B6E0E"/>
    <w:rsid w:val="002C7DC7"/>
    <w:rsid w:val="00314108"/>
    <w:rsid w:val="00341F62"/>
    <w:rsid w:val="003D17DD"/>
    <w:rsid w:val="00443F57"/>
    <w:rsid w:val="00453088"/>
    <w:rsid w:val="004A0EB9"/>
    <w:rsid w:val="00520FDD"/>
    <w:rsid w:val="0053275C"/>
    <w:rsid w:val="005766AE"/>
    <w:rsid w:val="00641900"/>
    <w:rsid w:val="00653898"/>
    <w:rsid w:val="00653961"/>
    <w:rsid w:val="00690EC9"/>
    <w:rsid w:val="006B055A"/>
    <w:rsid w:val="006B6D58"/>
    <w:rsid w:val="006E124F"/>
    <w:rsid w:val="007463E1"/>
    <w:rsid w:val="007E01C9"/>
    <w:rsid w:val="00813E40"/>
    <w:rsid w:val="00930CC1"/>
    <w:rsid w:val="00A5469A"/>
    <w:rsid w:val="00AD774E"/>
    <w:rsid w:val="00B225D9"/>
    <w:rsid w:val="00C42043"/>
    <w:rsid w:val="00CA4069"/>
    <w:rsid w:val="00D177D9"/>
    <w:rsid w:val="00D83CDE"/>
    <w:rsid w:val="00DC7974"/>
    <w:rsid w:val="00DD00DA"/>
    <w:rsid w:val="00E923F3"/>
    <w:rsid w:val="00F45F85"/>
    <w:rsid w:val="00F5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paragraph" w:customStyle="1" w:styleId="Blockquote">
    <w:name w:val="Blockquote"/>
    <w:basedOn w:val="Normal"/>
    <w:rsid w:val="00A5469A"/>
    <w:pPr>
      <w:widowControl w:val="0"/>
      <w:spacing w:before="100" w:after="100"/>
      <w:ind w:left="360" w:right="360"/>
    </w:pPr>
    <w:rPr>
      <w:rFonts w:ascii="Times New Roman" w:eastAsia="Times New Roman" w:hAnsi="Times New Roman" w:cs="Times New Roman"/>
      <w:snapToGrid w:val="0"/>
      <w:szCs w:val="20"/>
      <w:lang w:val="en-US"/>
    </w:rPr>
  </w:style>
  <w:style w:type="character" w:styleId="Emphasis">
    <w:name w:val="Emphasis"/>
    <w:qFormat/>
    <w:rsid w:val="00A5469A"/>
    <w:rPr>
      <w:i/>
    </w:rPr>
  </w:style>
  <w:style w:type="paragraph" w:customStyle="1" w:styleId="PRAGHeading2">
    <w:name w:val="PRAG Heading 2"/>
    <w:basedOn w:val="Normal"/>
    <w:rsid w:val="00A5469A"/>
    <w:pPr>
      <w:widowControl w:val="0"/>
      <w:numPr>
        <w:numId w:val="8"/>
      </w:numPr>
      <w:spacing w:before="100" w:after="100"/>
    </w:pPr>
    <w:rPr>
      <w:rFonts w:ascii="Times New Roman" w:eastAsia="Times New Roman" w:hAnsi="Times New Roman" w:cs="Times New Roman"/>
      <w:snapToGrid w:val="0"/>
      <w:szCs w:val="20"/>
      <w:lang w:val="en-US"/>
    </w:rPr>
  </w:style>
  <w:style w:type="paragraph" w:styleId="FootnoteText">
    <w:name w:val="footnote text"/>
    <w:basedOn w:val="Normal"/>
    <w:link w:val="FootnoteTextChar"/>
    <w:autoRedefine/>
    <w:rsid w:val="00A5469A"/>
    <w:pPr>
      <w:widowControl w:val="0"/>
      <w:spacing w:after="120"/>
    </w:pPr>
    <w:rPr>
      <w:rFonts w:ascii="Times New Roman" w:eastAsia="Times New Roman" w:hAnsi="Times New Roman" w:cs="Times New Roman"/>
      <w:snapToGrid w:val="0"/>
      <w:sz w:val="20"/>
      <w:szCs w:val="20"/>
      <w:lang w:val="en-US"/>
    </w:rPr>
  </w:style>
  <w:style w:type="character" w:customStyle="1" w:styleId="FootnoteTextChar">
    <w:name w:val="Footnote Text Char"/>
    <w:basedOn w:val="DefaultParagraphFont"/>
    <w:link w:val="FootnoteText"/>
    <w:rsid w:val="00A5469A"/>
    <w:rPr>
      <w:rFonts w:ascii="Times New Roman" w:eastAsia="Times New Roman" w:hAnsi="Times New Roman" w:cs="Times New Roman"/>
      <w:snapToGrid w:val="0"/>
      <w:sz w:val="20"/>
      <w:szCs w:val="20"/>
      <w:lang w:val="en-US"/>
    </w:rPr>
  </w:style>
  <w:style w:type="character" w:styleId="FootnoteReference">
    <w:name w:val="footnote reference"/>
    <w:rsid w:val="00A546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paragraph" w:customStyle="1" w:styleId="Blockquote">
    <w:name w:val="Blockquote"/>
    <w:basedOn w:val="Normal"/>
    <w:rsid w:val="00A5469A"/>
    <w:pPr>
      <w:widowControl w:val="0"/>
      <w:spacing w:before="100" w:after="100"/>
      <w:ind w:left="360" w:right="360"/>
    </w:pPr>
    <w:rPr>
      <w:rFonts w:ascii="Times New Roman" w:eastAsia="Times New Roman" w:hAnsi="Times New Roman" w:cs="Times New Roman"/>
      <w:snapToGrid w:val="0"/>
      <w:szCs w:val="20"/>
      <w:lang w:val="en-US"/>
    </w:rPr>
  </w:style>
  <w:style w:type="character" w:styleId="Emphasis">
    <w:name w:val="Emphasis"/>
    <w:qFormat/>
    <w:rsid w:val="00A5469A"/>
    <w:rPr>
      <w:i/>
    </w:rPr>
  </w:style>
  <w:style w:type="paragraph" w:customStyle="1" w:styleId="PRAGHeading2">
    <w:name w:val="PRAG Heading 2"/>
    <w:basedOn w:val="Normal"/>
    <w:rsid w:val="00A5469A"/>
    <w:pPr>
      <w:widowControl w:val="0"/>
      <w:numPr>
        <w:numId w:val="8"/>
      </w:numPr>
      <w:spacing w:before="100" w:after="100"/>
    </w:pPr>
    <w:rPr>
      <w:rFonts w:ascii="Times New Roman" w:eastAsia="Times New Roman" w:hAnsi="Times New Roman" w:cs="Times New Roman"/>
      <w:snapToGrid w:val="0"/>
      <w:szCs w:val="20"/>
      <w:lang w:val="en-US"/>
    </w:rPr>
  </w:style>
  <w:style w:type="paragraph" w:styleId="FootnoteText">
    <w:name w:val="footnote text"/>
    <w:basedOn w:val="Normal"/>
    <w:link w:val="FootnoteTextChar"/>
    <w:autoRedefine/>
    <w:rsid w:val="00A5469A"/>
    <w:pPr>
      <w:widowControl w:val="0"/>
      <w:spacing w:after="120"/>
    </w:pPr>
    <w:rPr>
      <w:rFonts w:ascii="Times New Roman" w:eastAsia="Times New Roman" w:hAnsi="Times New Roman" w:cs="Times New Roman"/>
      <w:snapToGrid w:val="0"/>
      <w:sz w:val="20"/>
      <w:szCs w:val="20"/>
      <w:lang w:val="en-US"/>
    </w:rPr>
  </w:style>
  <w:style w:type="character" w:customStyle="1" w:styleId="FootnoteTextChar">
    <w:name w:val="Footnote Text Char"/>
    <w:basedOn w:val="DefaultParagraphFont"/>
    <w:link w:val="FootnoteText"/>
    <w:rsid w:val="00A5469A"/>
    <w:rPr>
      <w:rFonts w:ascii="Times New Roman" w:eastAsia="Times New Roman" w:hAnsi="Times New Roman" w:cs="Times New Roman"/>
      <w:snapToGrid w:val="0"/>
      <w:sz w:val="20"/>
      <w:szCs w:val="20"/>
      <w:lang w:val="en-US"/>
    </w:rPr>
  </w:style>
  <w:style w:type="character" w:styleId="FootnoteReference">
    <w:name w:val="footnote reference"/>
    <w:rsid w:val="00A54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a.unsa.ba/ef/bs/javnenabavk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fsa.unsa.ba/ef/bs/javnenabavke" TargetMode="External"/><Relationship Id="rId4" Type="http://schemas.openxmlformats.org/officeDocument/2006/relationships/settings" Target="settings.xml"/><Relationship Id="rId9" Type="http://schemas.openxmlformats.org/officeDocument/2006/relationships/hyperlink" Target="mailto:mevlida.pljevljak@efsa.unsa.b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Dell</cp:lastModifiedBy>
  <cp:revision>5</cp:revision>
  <cp:lastPrinted>2021-05-10T10:25:00Z</cp:lastPrinted>
  <dcterms:created xsi:type="dcterms:W3CDTF">2021-05-10T20:03:00Z</dcterms:created>
  <dcterms:modified xsi:type="dcterms:W3CDTF">2021-05-10T21:23:00Z</dcterms:modified>
</cp:coreProperties>
</file>